
<file path=[Content_Types].xml><?xml version="1.0" encoding="utf-8"?>
<Types xmlns="http://schemas.openxmlformats.org/package/2006/content-types">
  <Default Extension="tiff" ContentType="image/tif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17528A">
      <w:pPr>
        <w:rPr>
          <w:rFonts w:ascii="Times New Roman" w:hAnsi="Times New Roman" w:eastAsia="Segoe UI" w:cs="Times New Roman"/>
          <w:b/>
          <w:bCs/>
          <w:color w:val="1A1C1F"/>
          <w:sz w:val="24"/>
          <w:shd w:val="clear" w:color="auto" w:fill="FFFFFF"/>
        </w:rPr>
      </w:pPr>
      <w:bookmarkStart w:id="0" w:name="OLE_LINK31"/>
      <w:r>
        <w:rPr>
          <w:rFonts w:ascii="Times New Roman" w:hAnsi="Times New Roman" w:eastAsia="Segoe UI" w:cs="Times New Roman"/>
          <w:b/>
          <w:bCs/>
          <w:color w:val="1A1C1F"/>
          <w:sz w:val="24"/>
          <w:shd w:val="clear" w:color="auto" w:fill="FFFFFF"/>
        </w:rPr>
        <w:t>Table S</w:t>
      </w:r>
      <w:r>
        <w:rPr>
          <w:rFonts w:hint="eastAsia" w:ascii="Times New Roman" w:hAnsi="Times New Roman" w:eastAsia="宋体" w:cs="Times New Roman"/>
          <w:b/>
          <w:bCs/>
          <w:color w:val="1A1C1F"/>
          <w:sz w:val="24"/>
          <w:shd w:val="clear" w:color="auto" w:fill="FFFFFF"/>
        </w:rPr>
        <w:t>1</w:t>
      </w:r>
      <w:r>
        <w:rPr>
          <w:rFonts w:ascii="Times New Roman" w:hAnsi="Times New Roman" w:eastAsia="Segoe UI" w:cs="Times New Roman"/>
          <w:b/>
          <w:bCs/>
          <w:color w:val="1A1C1F"/>
          <w:sz w:val="24"/>
          <w:shd w:val="clear" w:color="auto" w:fill="FFFFFF"/>
        </w:rPr>
        <w:t>. Comparison of long-term temporal trend estimates from log-linear regression and joinpoint regression for major risk categories among women of childbearing age at the global level, 1990–2021</w:t>
      </w:r>
    </w:p>
    <w:p w14:paraId="43C646E2">
      <w:pPr>
        <w:rPr>
          <w:rFonts w:ascii="Times New Roman" w:hAnsi="Times New Roman" w:eastAsia="Segoe UI" w:cs="Times New Roman"/>
          <w:color w:val="1A1C1F"/>
          <w:sz w:val="24"/>
          <w:shd w:val="clear" w:color="auto" w:fill="FFFFFF"/>
        </w:rPr>
      </w:pPr>
    </w:p>
    <w:tbl>
      <w:tblPr>
        <w:tblStyle w:val="5"/>
        <w:tblW w:w="0" w:type="auto"/>
        <w:tblInd w:w="0" w:type="dxa"/>
        <w:tblBorders>
          <w:top w:val="single" w:color="auto" w:sz="2" w:space="0"/>
          <w:left w:val="single" w:color="auto" w:sz="2" w:space="0"/>
          <w:bottom w:val="single" w:color="auto" w:sz="2" w:space="0"/>
          <w:right w:val="single" w:color="auto" w:sz="2" w:space="0"/>
          <w:insideH w:val="none" w:color="auto" w:sz="0" w:space="0"/>
          <w:insideV w:val="none" w:color="auto" w:sz="0" w:space="0"/>
        </w:tblBorders>
        <w:shd w:val="clear" w:color="auto" w:fill="FFFFFF"/>
        <w:tblLayout w:type="autofit"/>
        <w:tblCellMar>
          <w:top w:w="0" w:type="dxa"/>
          <w:left w:w="0" w:type="dxa"/>
          <w:bottom w:w="0" w:type="dxa"/>
          <w:right w:w="0" w:type="dxa"/>
        </w:tblCellMar>
      </w:tblPr>
      <w:tblGrid>
        <w:gridCol w:w="1615"/>
        <w:gridCol w:w="876"/>
        <w:gridCol w:w="2814"/>
        <w:gridCol w:w="2520"/>
        <w:gridCol w:w="2531"/>
        <w:gridCol w:w="2903"/>
      </w:tblGrid>
      <w:tr w14:paraId="033A0EFA">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0" w:type="auto"/>
            <w:tcBorders>
              <w:top w:val="single" w:color="auto" w:sz="12" w:space="0"/>
              <w:left w:val="nil"/>
              <w:bottom w:val="single" w:color="auto" w:sz="6" w:space="0"/>
              <w:right w:val="nil"/>
            </w:tcBorders>
            <w:shd w:val="clear" w:color="auto" w:fill="FFFFFF"/>
            <w:tcMar>
              <w:top w:w="60" w:type="dxa"/>
              <w:left w:w="60" w:type="dxa"/>
              <w:bottom w:w="60" w:type="dxa"/>
              <w:right w:w="60" w:type="dxa"/>
            </w:tcMar>
            <w:vAlign w:val="center"/>
          </w:tcPr>
          <w:p w14:paraId="289A2245">
            <w:pPr>
              <w:widowControl/>
              <w:spacing w:line="24" w:lineRule="atLeast"/>
              <w:jc w:val="center"/>
              <w:rPr>
                <w:rFonts w:ascii="Times New Roman" w:hAnsi="Times New Roman" w:eastAsia="Segoe UI" w:cs="Times New Roman"/>
                <w:b/>
                <w:bCs/>
                <w:color w:val="1A1C1F"/>
                <w:sz w:val="20"/>
                <w:szCs w:val="20"/>
              </w:rPr>
            </w:pPr>
            <w:r>
              <w:rPr>
                <w:rFonts w:ascii="Times New Roman" w:hAnsi="Times New Roman" w:eastAsia="Segoe UI" w:cs="Times New Roman"/>
                <w:b/>
                <w:bCs/>
                <w:color w:val="1A1C1F"/>
                <w:kern w:val="0"/>
                <w:sz w:val="20"/>
                <w:szCs w:val="20"/>
                <w:lang w:bidi="ar"/>
              </w:rPr>
              <w:t>Measure</w:t>
            </w:r>
          </w:p>
        </w:tc>
        <w:tc>
          <w:tcPr>
            <w:tcW w:w="0" w:type="auto"/>
            <w:tcBorders>
              <w:top w:val="single" w:color="auto" w:sz="12" w:space="0"/>
              <w:left w:val="nil"/>
              <w:bottom w:val="single" w:color="auto" w:sz="6" w:space="0"/>
              <w:right w:val="nil"/>
            </w:tcBorders>
            <w:shd w:val="clear" w:color="auto" w:fill="FFFFFF"/>
            <w:tcMar>
              <w:top w:w="60" w:type="dxa"/>
              <w:left w:w="60" w:type="dxa"/>
              <w:bottom w:w="60" w:type="dxa"/>
              <w:right w:w="60" w:type="dxa"/>
            </w:tcMar>
            <w:vAlign w:val="center"/>
          </w:tcPr>
          <w:p w14:paraId="3C21868F">
            <w:pPr>
              <w:widowControl/>
              <w:spacing w:line="24" w:lineRule="atLeast"/>
              <w:jc w:val="center"/>
              <w:rPr>
                <w:rFonts w:ascii="Times New Roman" w:hAnsi="Times New Roman" w:eastAsia="Segoe UI" w:cs="Times New Roman"/>
                <w:b/>
                <w:bCs/>
                <w:color w:val="1A1C1F"/>
                <w:sz w:val="20"/>
                <w:szCs w:val="20"/>
              </w:rPr>
            </w:pPr>
            <w:r>
              <w:rPr>
                <w:rFonts w:ascii="Times New Roman" w:hAnsi="Times New Roman" w:eastAsia="Segoe UI" w:cs="Times New Roman"/>
                <w:b/>
                <w:bCs/>
                <w:color w:val="1A1C1F"/>
                <w:kern w:val="0"/>
                <w:sz w:val="20"/>
                <w:szCs w:val="20"/>
                <w:lang w:bidi="ar"/>
              </w:rPr>
              <w:t>Location</w:t>
            </w:r>
          </w:p>
        </w:tc>
        <w:tc>
          <w:tcPr>
            <w:tcW w:w="0" w:type="auto"/>
            <w:tcBorders>
              <w:top w:val="single" w:color="auto" w:sz="12" w:space="0"/>
              <w:left w:val="nil"/>
              <w:bottom w:val="single" w:color="auto" w:sz="6" w:space="0"/>
              <w:right w:val="nil"/>
            </w:tcBorders>
            <w:shd w:val="clear" w:color="auto" w:fill="FFFFFF"/>
            <w:tcMar>
              <w:top w:w="60" w:type="dxa"/>
              <w:left w:w="60" w:type="dxa"/>
              <w:bottom w:w="60" w:type="dxa"/>
              <w:right w:w="60" w:type="dxa"/>
            </w:tcMar>
            <w:vAlign w:val="center"/>
          </w:tcPr>
          <w:p w14:paraId="6D33FF74">
            <w:pPr>
              <w:widowControl/>
              <w:spacing w:line="24" w:lineRule="atLeast"/>
              <w:jc w:val="center"/>
              <w:rPr>
                <w:rFonts w:ascii="Times New Roman" w:hAnsi="Times New Roman" w:eastAsia="Segoe UI" w:cs="Times New Roman"/>
                <w:b/>
                <w:bCs/>
                <w:color w:val="1A1C1F"/>
                <w:sz w:val="20"/>
                <w:szCs w:val="20"/>
              </w:rPr>
            </w:pPr>
            <w:r>
              <w:rPr>
                <w:rFonts w:ascii="Times New Roman" w:hAnsi="Times New Roman" w:eastAsia="Segoe UI" w:cs="Times New Roman"/>
                <w:b/>
                <w:bCs/>
                <w:color w:val="1A1C1F"/>
                <w:kern w:val="0"/>
                <w:sz w:val="20"/>
                <w:szCs w:val="20"/>
                <w:lang w:bidi="ar"/>
              </w:rPr>
              <w:t>Risk factor</w:t>
            </w:r>
          </w:p>
        </w:tc>
        <w:tc>
          <w:tcPr>
            <w:tcW w:w="0" w:type="auto"/>
            <w:tcBorders>
              <w:top w:val="single" w:color="auto" w:sz="12" w:space="0"/>
              <w:left w:val="nil"/>
              <w:bottom w:val="single" w:color="auto" w:sz="6" w:space="0"/>
              <w:right w:val="nil"/>
            </w:tcBorders>
            <w:shd w:val="clear" w:color="auto" w:fill="FFFFFF"/>
            <w:tcMar>
              <w:top w:w="60" w:type="dxa"/>
              <w:left w:w="60" w:type="dxa"/>
              <w:bottom w:w="60" w:type="dxa"/>
              <w:right w:w="60" w:type="dxa"/>
            </w:tcMar>
            <w:vAlign w:val="center"/>
          </w:tcPr>
          <w:p w14:paraId="7EDBE75E">
            <w:pPr>
              <w:widowControl/>
              <w:spacing w:line="24" w:lineRule="atLeast"/>
              <w:jc w:val="center"/>
              <w:rPr>
                <w:rFonts w:ascii="Times New Roman" w:hAnsi="Times New Roman" w:eastAsia="Segoe UI" w:cs="Times New Roman"/>
                <w:b/>
                <w:bCs/>
                <w:color w:val="1A1C1F"/>
                <w:sz w:val="20"/>
                <w:szCs w:val="20"/>
              </w:rPr>
            </w:pPr>
            <w:r>
              <w:rPr>
                <w:rFonts w:ascii="Times New Roman" w:hAnsi="Times New Roman" w:eastAsia="Segoe UI" w:cs="Times New Roman"/>
                <w:b/>
                <w:bCs/>
                <w:color w:val="1A1C1F"/>
                <w:kern w:val="0"/>
                <w:sz w:val="20"/>
                <w:szCs w:val="20"/>
                <w:lang w:bidi="ar"/>
              </w:rPr>
              <w:t>EAPC, 1990–2021 (95% CI)</w:t>
            </w:r>
          </w:p>
        </w:tc>
        <w:tc>
          <w:tcPr>
            <w:tcW w:w="0" w:type="auto"/>
            <w:tcBorders>
              <w:top w:val="single" w:color="auto" w:sz="12" w:space="0"/>
              <w:left w:val="nil"/>
              <w:bottom w:val="single" w:color="auto" w:sz="6" w:space="0"/>
              <w:right w:val="nil"/>
            </w:tcBorders>
            <w:shd w:val="clear" w:color="auto" w:fill="FFFFFF"/>
            <w:tcMar>
              <w:top w:w="60" w:type="dxa"/>
              <w:left w:w="60" w:type="dxa"/>
              <w:bottom w:w="60" w:type="dxa"/>
              <w:right w:w="60" w:type="dxa"/>
            </w:tcMar>
            <w:vAlign w:val="center"/>
          </w:tcPr>
          <w:p w14:paraId="55480672">
            <w:pPr>
              <w:widowControl/>
              <w:spacing w:line="24" w:lineRule="atLeast"/>
              <w:jc w:val="center"/>
              <w:rPr>
                <w:rFonts w:ascii="Times New Roman" w:hAnsi="Times New Roman" w:eastAsia="Segoe UI" w:cs="Times New Roman"/>
                <w:b/>
                <w:bCs/>
                <w:color w:val="1A1C1F"/>
                <w:sz w:val="20"/>
                <w:szCs w:val="20"/>
              </w:rPr>
            </w:pPr>
            <w:r>
              <w:rPr>
                <w:rFonts w:ascii="Times New Roman" w:hAnsi="Times New Roman" w:eastAsia="Segoe UI" w:cs="Times New Roman"/>
                <w:b/>
                <w:bCs/>
                <w:color w:val="1A1C1F"/>
                <w:kern w:val="0"/>
                <w:sz w:val="20"/>
                <w:szCs w:val="20"/>
                <w:lang w:bidi="ar"/>
              </w:rPr>
              <w:t>AAPC, 1990–2021 (95% CI)</w:t>
            </w:r>
          </w:p>
        </w:tc>
        <w:tc>
          <w:tcPr>
            <w:tcW w:w="0" w:type="auto"/>
            <w:tcBorders>
              <w:top w:val="single" w:color="auto" w:sz="12" w:space="0"/>
              <w:left w:val="nil"/>
              <w:bottom w:val="single" w:color="auto" w:sz="6" w:space="0"/>
              <w:right w:val="nil"/>
            </w:tcBorders>
            <w:shd w:val="clear" w:color="auto" w:fill="FFFFFF"/>
            <w:tcMar>
              <w:top w:w="60" w:type="dxa"/>
              <w:left w:w="60" w:type="dxa"/>
              <w:bottom w:w="60" w:type="dxa"/>
              <w:right w:w="60" w:type="dxa"/>
            </w:tcMar>
            <w:vAlign w:val="center"/>
          </w:tcPr>
          <w:p w14:paraId="472C22A6">
            <w:pPr>
              <w:widowControl/>
              <w:spacing w:line="24" w:lineRule="atLeast"/>
              <w:jc w:val="center"/>
              <w:rPr>
                <w:rFonts w:ascii="Times New Roman" w:hAnsi="Times New Roman" w:eastAsia="Segoe UI" w:cs="Times New Roman"/>
                <w:b/>
                <w:bCs/>
                <w:color w:val="1A1C1F"/>
                <w:sz w:val="20"/>
                <w:szCs w:val="20"/>
              </w:rPr>
            </w:pPr>
            <w:r>
              <w:rPr>
                <w:rFonts w:ascii="Times New Roman" w:hAnsi="Times New Roman" w:eastAsia="Segoe UI" w:cs="Times New Roman"/>
                <w:b/>
                <w:bCs/>
                <w:color w:val="1A1C1F"/>
                <w:kern w:val="0"/>
                <w:sz w:val="20"/>
                <w:szCs w:val="20"/>
                <w:lang w:bidi="ar"/>
              </w:rPr>
              <w:t>Interpretation</w:t>
            </w:r>
          </w:p>
        </w:tc>
      </w:tr>
      <w:tr w14:paraId="4113EA07">
        <w:tblPrEx>
          <w:tblBorders>
            <w:top w:val="single" w:color="auto" w:sz="2" w:space="0"/>
            <w:left w:val="single" w:color="auto" w:sz="2" w:space="0"/>
            <w:bottom w:val="single" w:color="auto" w:sz="6"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0" w:type="auto"/>
            <w:tcBorders>
              <w:top w:val="single" w:color="auto" w:sz="6" w:space="0"/>
              <w:left w:val="nil"/>
              <w:bottom w:val="nil"/>
              <w:right w:val="nil"/>
            </w:tcBorders>
            <w:shd w:val="clear" w:color="auto" w:fill="FFFFFF"/>
            <w:tcMar>
              <w:top w:w="60" w:type="dxa"/>
              <w:left w:w="60" w:type="dxa"/>
              <w:bottom w:w="60" w:type="dxa"/>
              <w:right w:w="60" w:type="dxa"/>
            </w:tcMar>
            <w:vAlign w:val="center"/>
          </w:tcPr>
          <w:p w14:paraId="655D4A09">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Summary estimate</w:t>
            </w:r>
          </w:p>
        </w:tc>
        <w:tc>
          <w:tcPr>
            <w:tcW w:w="0" w:type="auto"/>
            <w:tcBorders>
              <w:top w:val="single" w:color="auto" w:sz="6" w:space="0"/>
              <w:left w:val="nil"/>
              <w:bottom w:val="nil"/>
              <w:right w:val="nil"/>
            </w:tcBorders>
            <w:shd w:val="clear" w:color="auto" w:fill="FFFFFF"/>
            <w:tcMar>
              <w:top w:w="60" w:type="dxa"/>
              <w:left w:w="60" w:type="dxa"/>
              <w:bottom w:w="60" w:type="dxa"/>
              <w:right w:w="60" w:type="dxa"/>
            </w:tcMar>
            <w:vAlign w:val="center"/>
          </w:tcPr>
          <w:p w14:paraId="46EE2479">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Global</w:t>
            </w:r>
          </w:p>
        </w:tc>
        <w:tc>
          <w:tcPr>
            <w:tcW w:w="0" w:type="auto"/>
            <w:tcBorders>
              <w:top w:val="single" w:color="auto" w:sz="6" w:space="0"/>
              <w:left w:val="nil"/>
              <w:bottom w:val="nil"/>
              <w:right w:val="nil"/>
            </w:tcBorders>
            <w:shd w:val="clear" w:color="auto" w:fill="FFFFFF"/>
            <w:tcMar>
              <w:top w:w="60" w:type="dxa"/>
              <w:left w:w="60" w:type="dxa"/>
              <w:bottom w:w="60" w:type="dxa"/>
              <w:right w:w="60" w:type="dxa"/>
            </w:tcMar>
            <w:vAlign w:val="center"/>
          </w:tcPr>
          <w:p w14:paraId="38FA0156">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Environmental/occupational risks</w:t>
            </w:r>
          </w:p>
        </w:tc>
        <w:tc>
          <w:tcPr>
            <w:tcW w:w="0" w:type="auto"/>
            <w:tcBorders>
              <w:top w:val="single" w:color="auto" w:sz="6" w:space="0"/>
              <w:left w:val="nil"/>
              <w:bottom w:val="nil"/>
              <w:right w:val="nil"/>
            </w:tcBorders>
            <w:shd w:val="clear" w:color="auto" w:fill="FFFFFF"/>
            <w:tcMar>
              <w:top w:w="60" w:type="dxa"/>
              <w:left w:w="60" w:type="dxa"/>
              <w:bottom w:w="60" w:type="dxa"/>
              <w:right w:w="60" w:type="dxa"/>
            </w:tcMar>
            <w:vAlign w:val="center"/>
          </w:tcPr>
          <w:p w14:paraId="6A120FBD">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-0.55 (-0.59 to -0.50)</w:t>
            </w:r>
          </w:p>
        </w:tc>
        <w:tc>
          <w:tcPr>
            <w:tcW w:w="0" w:type="auto"/>
            <w:tcBorders>
              <w:top w:val="single" w:color="auto" w:sz="6" w:space="0"/>
              <w:left w:val="nil"/>
              <w:bottom w:val="nil"/>
              <w:right w:val="nil"/>
            </w:tcBorders>
            <w:shd w:val="clear" w:color="auto" w:fill="FFFFFF"/>
            <w:tcMar>
              <w:top w:w="60" w:type="dxa"/>
              <w:left w:w="60" w:type="dxa"/>
              <w:bottom w:w="60" w:type="dxa"/>
              <w:right w:w="60" w:type="dxa"/>
            </w:tcMar>
            <w:vAlign w:val="center"/>
          </w:tcPr>
          <w:p w14:paraId="51F2BB26">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-0.54 (-0.58 to -0.53)</w:t>
            </w:r>
          </w:p>
        </w:tc>
        <w:tc>
          <w:tcPr>
            <w:tcW w:w="0" w:type="auto"/>
            <w:tcBorders>
              <w:top w:val="single" w:color="auto" w:sz="6" w:space="0"/>
              <w:left w:val="nil"/>
              <w:bottom w:val="nil"/>
              <w:right w:val="nil"/>
            </w:tcBorders>
            <w:shd w:val="clear" w:color="auto" w:fill="FFFFFF"/>
            <w:tcMar>
              <w:top w:w="60" w:type="dxa"/>
              <w:left w:w="60" w:type="dxa"/>
              <w:bottom w:w="60" w:type="dxa"/>
              <w:right w:w="60" w:type="dxa"/>
            </w:tcMar>
            <w:vAlign w:val="center"/>
          </w:tcPr>
          <w:p w14:paraId="68027373">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Overall declining trend consistent</w:t>
            </w:r>
          </w:p>
        </w:tc>
      </w:tr>
      <w:tr w14:paraId="6A9BF19A">
        <w:tblPrEx>
          <w:tblBorders>
            <w:top w:val="single" w:color="auto" w:sz="2" w:space="0"/>
            <w:left w:val="single" w:color="auto" w:sz="2" w:space="0"/>
            <w:bottom w:val="single" w:color="auto" w:sz="6" w:space="0"/>
            <w:right w:val="single" w:color="auto" w:sz="2" w:space="0"/>
            <w:insideH w:val="none" w:color="auto" w:sz="0" w:space="0"/>
            <w:insideV w:val="none" w:color="auto" w:sz="0" w:space="0"/>
          </w:tblBorders>
          <w:shd w:val="clear" w:color="auto" w:fill="FFFFFF"/>
          <w:tblCellMar>
            <w:top w:w="0" w:type="dxa"/>
            <w:left w:w="0" w:type="dxa"/>
            <w:bottom w:w="0" w:type="dxa"/>
            <w:right w:w="0" w:type="dxa"/>
          </w:tblCellMar>
        </w:tblPrEx>
        <w:tc>
          <w:tcPr>
            <w:tcW w:w="0" w:type="auto"/>
            <w:tcBorders>
              <w:top w:val="nil"/>
              <w:left w:val="nil"/>
              <w:bottom w:val="nil"/>
              <w:right w:val="nil"/>
            </w:tcBorders>
            <w:shd w:val="clear" w:color="auto" w:fill="FFFFFF"/>
            <w:tcMar>
              <w:top w:w="60" w:type="dxa"/>
              <w:left w:w="60" w:type="dxa"/>
              <w:bottom w:w="60" w:type="dxa"/>
              <w:right w:w="60" w:type="dxa"/>
            </w:tcMar>
            <w:vAlign w:val="center"/>
          </w:tcPr>
          <w:p w14:paraId="3405F3EC">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Summary estimate</w:t>
            </w:r>
          </w:p>
        </w:tc>
        <w:tc>
          <w:tcPr>
            <w:tcW w:w="0" w:type="auto"/>
            <w:tcBorders>
              <w:top w:val="nil"/>
              <w:left w:val="nil"/>
              <w:bottom w:val="nil"/>
              <w:right w:val="nil"/>
            </w:tcBorders>
            <w:shd w:val="clear" w:color="auto" w:fill="FFFFFF"/>
            <w:tcMar>
              <w:top w:w="60" w:type="dxa"/>
              <w:left w:w="60" w:type="dxa"/>
              <w:bottom w:w="60" w:type="dxa"/>
              <w:right w:w="60" w:type="dxa"/>
            </w:tcMar>
            <w:vAlign w:val="center"/>
          </w:tcPr>
          <w:p w14:paraId="636B755B">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Global</w:t>
            </w:r>
          </w:p>
        </w:tc>
        <w:tc>
          <w:tcPr>
            <w:tcW w:w="0" w:type="auto"/>
            <w:tcBorders>
              <w:top w:val="nil"/>
              <w:left w:val="nil"/>
              <w:bottom w:val="nil"/>
              <w:right w:val="nil"/>
            </w:tcBorders>
            <w:shd w:val="clear" w:color="auto" w:fill="FFFFFF"/>
            <w:tcMar>
              <w:top w:w="60" w:type="dxa"/>
              <w:left w:w="60" w:type="dxa"/>
              <w:bottom w:w="60" w:type="dxa"/>
              <w:right w:w="60" w:type="dxa"/>
            </w:tcMar>
            <w:vAlign w:val="center"/>
          </w:tcPr>
          <w:p w14:paraId="2C820EFC">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Behavioral risks</w:t>
            </w:r>
          </w:p>
        </w:tc>
        <w:tc>
          <w:tcPr>
            <w:tcW w:w="0" w:type="auto"/>
            <w:tcBorders>
              <w:top w:val="nil"/>
              <w:left w:val="nil"/>
              <w:bottom w:val="nil"/>
              <w:right w:val="nil"/>
            </w:tcBorders>
            <w:shd w:val="clear" w:color="auto" w:fill="FFFFFF"/>
            <w:tcMar>
              <w:top w:w="60" w:type="dxa"/>
              <w:left w:w="60" w:type="dxa"/>
              <w:bottom w:w="60" w:type="dxa"/>
              <w:right w:w="60" w:type="dxa"/>
            </w:tcMar>
            <w:vAlign w:val="center"/>
          </w:tcPr>
          <w:p w14:paraId="148594BE">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-0.39 (-0.40 to -0.38)</w:t>
            </w:r>
          </w:p>
        </w:tc>
        <w:tc>
          <w:tcPr>
            <w:tcW w:w="0" w:type="auto"/>
            <w:tcBorders>
              <w:top w:val="nil"/>
              <w:left w:val="nil"/>
              <w:bottom w:val="nil"/>
              <w:right w:val="nil"/>
            </w:tcBorders>
            <w:shd w:val="clear" w:color="auto" w:fill="FFFFFF"/>
            <w:tcMar>
              <w:top w:w="60" w:type="dxa"/>
              <w:left w:w="60" w:type="dxa"/>
              <w:bottom w:w="60" w:type="dxa"/>
              <w:right w:w="60" w:type="dxa"/>
            </w:tcMar>
            <w:vAlign w:val="center"/>
          </w:tcPr>
          <w:p w14:paraId="63A80387">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-0.37 (-0.37 to -0.37)</w:t>
            </w:r>
          </w:p>
        </w:tc>
        <w:tc>
          <w:tcPr>
            <w:tcW w:w="0" w:type="auto"/>
            <w:tcBorders>
              <w:top w:val="nil"/>
              <w:left w:val="nil"/>
              <w:bottom w:val="nil"/>
              <w:right w:val="nil"/>
            </w:tcBorders>
            <w:shd w:val="clear" w:color="auto" w:fill="FFFFFF"/>
            <w:tcMar>
              <w:top w:w="60" w:type="dxa"/>
              <w:left w:w="60" w:type="dxa"/>
              <w:bottom w:w="60" w:type="dxa"/>
              <w:right w:w="60" w:type="dxa"/>
            </w:tcMar>
            <w:vAlign w:val="center"/>
          </w:tcPr>
          <w:p w14:paraId="3F9C4F53">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Overall declining trend consistent</w:t>
            </w:r>
          </w:p>
        </w:tc>
      </w:tr>
      <w:tr w14:paraId="616CCB81">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0" w:type="dxa"/>
            <w:left w:w="0" w:type="dxa"/>
            <w:bottom w:w="0" w:type="dxa"/>
            <w:right w:w="0" w:type="dxa"/>
          </w:tblCellMar>
        </w:tblPrEx>
        <w:tc>
          <w:tcPr>
            <w:tcW w:w="0" w:type="auto"/>
            <w:tcBorders>
              <w:top w:val="nil"/>
              <w:left w:val="nil"/>
              <w:bottom w:val="single" w:color="auto" w:sz="12" w:space="0"/>
              <w:right w:val="nil"/>
            </w:tcBorders>
            <w:shd w:val="clear" w:color="auto" w:fill="FFFFFF"/>
            <w:tcMar>
              <w:top w:w="60" w:type="dxa"/>
              <w:left w:w="60" w:type="dxa"/>
              <w:bottom w:w="60" w:type="dxa"/>
              <w:right w:w="60" w:type="dxa"/>
            </w:tcMar>
            <w:vAlign w:val="center"/>
          </w:tcPr>
          <w:p w14:paraId="7B908199">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Summary estimate</w:t>
            </w:r>
          </w:p>
        </w:tc>
        <w:tc>
          <w:tcPr>
            <w:tcW w:w="0" w:type="auto"/>
            <w:tcBorders>
              <w:top w:val="nil"/>
              <w:left w:val="nil"/>
              <w:bottom w:val="single" w:color="auto" w:sz="12" w:space="0"/>
              <w:right w:val="nil"/>
            </w:tcBorders>
            <w:shd w:val="clear" w:color="auto" w:fill="FFFFFF"/>
            <w:tcMar>
              <w:top w:w="60" w:type="dxa"/>
              <w:left w:w="60" w:type="dxa"/>
              <w:bottom w:w="60" w:type="dxa"/>
              <w:right w:w="60" w:type="dxa"/>
            </w:tcMar>
            <w:vAlign w:val="center"/>
          </w:tcPr>
          <w:p w14:paraId="71C8D6EC">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Global</w:t>
            </w:r>
          </w:p>
        </w:tc>
        <w:tc>
          <w:tcPr>
            <w:tcW w:w="0" w:type="auto"/>
            <w:tcBorders>
              <w:top w:val="nil"/>
              <w:left w:val="nil"/>
              <w:bottom w:val="single" w:color="auto" w:sz="12" w:space="0"/>
              <w:right w:val="nil"/>
            </w:tcBorders>
            <w:shd w:val="clear" w:color="auto" w:fill="FFFFFF"/>
            <w:tcMar>
              <w:top w:w="60" w:type="dxa"/>
              <w:left w:w="60" w:type="dxa"/>
              <w:bottom w:w="60" w:type="dxa"/>
              <w:right w:w="60" w:type="dxa"/>
            </w:tcMar>
            <w:vAlign w:val="center"/>
          </w:tcPr>
          <w:p w14:paraId="40E9FDD1">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Metabolic risks</w:t>
            </w:r>
          </w:p>
        </w:tc>
        <w:tc>
          <w:tcPr>
            <w:tcW w:w="0" w:type="auto"/>
            <w:tcBorders>
              <w:top w:val="nil"/>
              <w:left w:val="nil"/>
              <w:bottom w:val="single" w:color="auto" w:sz="12" w:space="0"/>
              <w:right w:val="nil"/>
            </w:tcBorders>
            <w:shd w:val="clear" w:color="auto" w:fill="FFFFFF"/>
            <w:tcMar>
              <w:top w:w="60" w:type="dxa"/>
              <w:left w:w="60" w:type="dxa"/>
              <w:bottom w:w="60" w:type="dxa"/>
              <w:right w:w="60" w:type="dxa"/>
            </w:tcMar>
            <w:vAlign w:val="center"/>
          </w:tcPr>
          <w:p w14:paraId="6BBB0BEC">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1.63 (1.62 to 1.64)</w:t>
            </w:r>
          </w:p>
        </w:tc>
        <w:tc>
          <w:tcPr>
            <w:tcW w:w="0" w:type="auto"/>
            <w:tcBorders>
              <w:top w:val="nil"/>
              <w:left w:val="nil"/>
              <w:bottom w:val="single" w:color="auto" w:sz="12" w:space="0"/>
              <w:right w:val="nil"/>
            </w:tcBorders>
            <w:shd w:val="clear" w:color="auto" w:fill="FFFFFF"/>
            <w:tcMar>
              <w:top w:w="60" w:type="dxa"/>
              <w:left w:w="60" w:type="dxa"/>
              <w:bottom w:w="60" w:type="dxa"/>
              <w:right w:w="60" w:type="dxa"/>
            </w:tcMar>
            <w:vAlign w:val="center"/>
          </w:tcPr>
          <w:p w14:paraId="01C54424">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1.62 (1.62 to 1.63)</w:t>
            </w:r>
          </w:p>
        </w:tc>
        <w:tc>
          <w:tcPr>
            <w:tcW w:w="0" w:type="auto"/>
            <w:tcBorders>
              <w:top w:val="nil"/>
              <w:left w:val="nil"/>
              <w:bottom w:val="single" w:color="auto" w:sz="12" w:space="0"/>
              <w:right w:val="nil"/>
            </w:tcBorders>
            <w:shd w:val="clear" w:color="auto" w:fill="FFFFFF"/>
            <w:tcMar>
              <w:top w:w="60" w:type="dxa"/>
              <w:left w:w="60" w:type="dxa"/>
              <w:bottom w:w="60" w:type="dxa"/>
              <w:right w:w="60" w:type="dxa"/>
            </w:tcMar>
            <w:vAlign w:val="center"/>
          </w:tcPr>
          <w:p w14:paraId="07D3BFAC">
            <w:pPr>
              <w:widowControl/>
              <w:spacing w:line="24" w:lineRule="atLeast"/>
              <w:jc w:val="left"/>
              <w:rPr>
                <w:rFonts w:ascii="Times New Roman" w:hAnsi="Times New Roman" w:eastAsia="Segoe UI" w:cs="Times New Roman"/>
                <w:color w:val="1A1C1F"/>
                <w:sz w:val="20"/>
                <w:szCs w:val="20"/>
              </w:rPr>
            </w:pPr>
            <w:r>
              <w:rPr>
                <w:rFonts w:ascii="Times New Roman" w:hAnsi="Times New Roman" w:eastAsia="Segoe UI" w:cs="Times New Roman"/>
                <w:color w:val="1A1C1F"/>
                <w:kern w:val="0"/>
                <w:sz w:val="20"/>
                <w:szCs w:val="20"/>
                <w:lang w:bidi="ar"/>
              </w:rPr>
              <w:t>Overall increasing trend consistent</w:t>
            </w:r>
          </w:p>
        </w:tc>
      </w:tr>
    </w:tbl>
    <w:p w14:paraId="25C7F02B">
      <w:pPr>
        <w:rPr>
          <w:rFonts w:ascii="Times New Roman" w:hAnsi="Times New Roman" w:eastAsia="Segoe UI" w:cs="Times New Roman"/>
          <w:color w:val="1A1C1F"/>
          <w:sz w:val="20"/>
          <w:szCs w:val="20"/>
          <w:shd w:val="clear" w:color="auto" w:fill="FFFFFF"/>
        </w:rPr>
      </w:pPr>
    </w:p>
    <w:p w14:paraId="025563C9">
      <w:pPr>
        <w:rPr>
          <w:rFonts w:ascii="Times New Roman" w:hAnsi="Times New Roman" w:eastAsia="Segoe UI" w:cs="Times New Roman"/>
          <w:color w:val="1A1C1F"/>
          <w:sz w:val="20"/>
          <w:szCs w:val="20"/>
          <w:shd w:val="clear" w:color="auto" w:fill="FFFFFF"/>
        </w:rPr>
      </w:pPr>
      <w:r>
        <w:rPr>
          <w:rFonts w:ascii="Times New Roman" w:hAnsi="Times New Roman" w:eastAsia="Segoe UI" w:cs="Times New Roman"/>
          <w:color w:val="1A1C1F"/>
          <w:sz w:val="20"/>
          <w:szCs w:val="20"/>
          <w:shd w:val="clear" w:color="auto" w:fill="FFFFFF"/>
        </w:rPr>
        <w:t>EAPC values were estimated from log-linear regression models fitted over the full study period (1990–2021). AAPC values were derived from joinpoint regression as a sensitivity analysis to assess whether the overall temporal trends were sensitive to departures from log-linearity. Positive values indicate increasing age-standardised rates over time, whereas negative values indicate decreasing age-standardised rates over time.</w:t>
      </w:r>
    </w:p>
    <w:p w14:paraId="20E1D869">
      <w:pPr>
        <w:rPr>
          <w:rFonts w:ascii="Times New Roman" w:hAnsi="Times New Roman" w:eastAsia="Segoe UI" w:cs="Times New Roman"/>
          <w:color w:val="1A1C1F"/>
          <w:sz w:val="20"/>
          <w:szCs w:val="20"/>
          <w:shd w:val="clear" w:color="auto" w:fill="FFFFFF"/>
        </w:rPr>
        <w:sectPr>
          <w:pgSz w:w="16838" w:h="11906" w:orient="landscape"/>
          <w:pgMar w:top="1800" w:right="1440" w:bottom="1800" w:left="1440" w:header="851" w:footer="992" w:gutter="0"/>
          <w:lnNumType w:countBy="1" w:restart="continuous"/>
          <w:cols w:space="425" w:num="1"/>
          <w:docGrid w:type="lines" w:linePitch="312" w:charSpace="0"/>
        </w:sectPr>
      </w:pPr>
      <w:r>
        <w:rPr>
          <w:rFonts w:hint="eastAsia" w:ascii="Times New Roman" w:hAnsi="Times New Roman" w:cs="Times New Roman"/>
          <w:sz w:val="20"/>
          <w:szCs w:val="20"/>
        </w:rPr>
        <w:t xml:space="preserve">Abbreviations: </w:t>
      </w:r>
      <w:r>
        <w:rPr>
          <w:rFonts w:ascii="Times New Roman" w:hAnsi="Times New Roman" w:eastAsia="Segoe UI" w:cs="Times New Roman"/>
          <w:color w:val="1A1C1F"/>
          <w:sz w:val="20"/>
          <w:szCs w:val="20"/>
          <w:shd w:val="clear" w:color="auto" w:fill="FFFFFF"/>
        </w:rPr>
        <w:t>AAPC</w:t>
      </w:r>
      <w:r>
        <w:rPr>
          <w:rFonts w:ascii="Times New Roman" w:hAnsi="Times New Roman" w:eastAsia="宋体" w:cs="Times New Roman"/>
          <w:color w:val="1A1C1F"/>
          <w:sz w:val="20"/>
          <w:szCs w:val="20"/>
          <w:shd w:val="clear" w:color="auto" w:fill="FFFFFF"/>
        </w:rPr>
        <w:t xml:space="preserve">, </w:t>
      </w:r>
      <w:r>
        <w:rPr>
          <w:rFonts w:ascii="Times New Roman" w:hAnsi="Times New Roman" w:eastAsia="Segoe UI" w:cs="Times New Roman"/>
          <w:color w:val="1A1C1F"/>
          <w:sz w:val="20"/>
          <w:szCs w:val="20"/>
          <w:shd w:val="clear" w:color="auto" w:fill="FFFFFF"/>
        </w:rPr>
        <w:t>average annual percentage change</w:t>
      </w:r>
      <w:r>
        <w:rPr>
          <w:rFonts w:ascii="Times New Roman" w:hAnsi="Times New Roman" w:eastAsia="宋体" w:cs="Times New Roman"/>
          <w:color w:val="1A1C1F"/>
          <w:sz w:val="20"/>
          <w:szCs w:val="20"/>
          <w:shd w:val="clear" w:color="auto" w:fill="FFFFFF"/>
        </w:rPr>
        <w:t xml:space="preserve">; </w:t>
      </w:r>
      <w:r>
        <w:rPr>
          <w:rFonts w:ascii="Times New Roman" w:hAnsi="Times New Roman" w:eastAsia="Segoe UI" w:cs="Times New Roman"/>
          <w:color w:val="1A1C1F"/>
          <w:sz w:val="20"/>
          <w:szCs w:val="20"/>
          <w:shd w:val="clear" w:color="auto" w:fill="FFFFFF"/>
        </w:rPr>
        <w:t>EAPC</w:t>
      </w:r>
      <w:r>
        <w:rPr>
          <w:rFonts w:ascii="Times New Roman" w:hAnsi="Times New Roman" w:eastAsia="宋体" w:cs="Times New Roman"/>
          <w:color w:val="1A1C1F"/>
          <w:sz w:val="20"/>
          <w:szCs w:val="20"/>
          <w:shd w:val="clear" w:color="auto" w:fill="FFFFFF"/>
        </w:rPr>
        <w:t xml:space="preserve">, </w:t>
      </w:r>
      <w:r>
        <w:rPr>
          <w:rFonts w:ascii="Times New Roman" w:hAnsi="Times New Roman" w:eastAsia="Segoe UI" w:cs="Times New Roman"/>
          <w:color w:val="1A1C1F"/>
          <w:sz w:val="20"/>
          <w:szCs w:val="20"/>
          <w:shd w:val="clear" w:color="auto" w:fill="FFFFFF"/>
        </w:rPr>
        <w:t>estimated annual percentage change.</w:t>
      </w:r>
    </w:p>
    <w:p w14:paraId="1337E514">
      <w:pPr>
        <w:rPr>
          <w:rFonts w:ascii="Times New Roman" w:hAnsi="Times New Roman" w:cs="Times New Roman"/>
          <w:b/>
          <w:bCs/>
          <w:sz w:val="24"/>
        </w:rPr>
      </w:pPr>
      <w:r>
        <w:rPr>
          <w:rFonts w:hint="eastAsia" w:ascii="Times New Roman" w:hAnsi="Times New Roman" w:cs="Times New Roman"/>
          <w:b/>
          <w:bCs/>
          <w:sz w:val="24"/>
        </w:rPr>
        <w:t xml:space="preserve">Table </w:t>
      </w:r>
      <w:r>
        <w:rPr>
          <w:rFonts w:ascii="Times New Roman" w:hAnsi="Times New Roman" w:cs="Times New Roman"/>
          <w:b/>
          <w:bCs/>
          <w:sz w:val="24"/>
        </w:rPr>
        <w:t>S</w:t>
      </w:r>
      <w:r>
        <w:rPr>
          <w:rFonts w:hint="eastAsia" w:ascii="Times New Roman" w:hAnsi="Times New Roman" w:cs="Times New Roman"/>
          <w:b/>
          <w:bCs/>
          <w:sz w:val="24"/>
        </w:rPr>
        <w:t xml:space="preserve">2. </w:t>
      </w:r>
      <w:r>
        <w:rPr>
          <w:rFonts w:ascii="Times New Roman" w:hAnsi="Times New Roman" w:cs="Times New Roman"/>
          <w:b/>
          <w:bCs/>
          <w:sz w:val="24"/>
        </w:rPr>
        <w:t>Global Risk-Attributable Deaths and DALYs among WCBA in 2021: Absolute Numbers, Age-Standardized Rates, and Temporal Trends (1990–2021)</w:t>
      </w:r>
    </w:p>
    <w:p w14:paraId="7544AA21">
      <w:pPr>
        <w:rPr>
          <w:rFonts w:ascii="Times New Roman" w:hAnsi="Times New Roman" w:cs="Times New Roman"/>
          <w:sz w:val="24"/>
        </w:rPr>
      </w:pPr>
    </w:p>
    <w:bookmarkEnd w:id="0"/>
    <w:tbl>
      <w:tblPr>
        <w:tblStyle w:val="5"/>
        <w:tblW w:w="14171" w:type="dxa"/>
        <w:jc w:val="center"/>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58"/>
        <w:gridCol w:w="1480"/>
        <w:gridCol w:w="1480"/>
        <w:gridCol w:w="1591"/>
        <w:gridCol w:w="1369"/>
        <w:gridCol w:w="1480"/>
        <w:gridCol w:w="1480"/>
        <w:gridCol w:w="1480"/>
        <w:gridCol w:w="1565"/>
        <w:gridCol w:w="1488"/>
      </w:tblGrid>
      <w:tr w14:paraId="4D0A475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left w:val="nil"/>
              <w:bottom w:val="single" w:color="auto" w:sz="6" w:space="0"/>
              <w:right w:val="nil"/>
            </w:tcBorders>
            <w:shd w:val="clear" w:color="auto" w:fill="auto"/>
            <w:noWrap/>
          </w:tcPr>
          <w:p w14:paraId="625BEBD5">
            <w:pPr>
              <w:widowControl/>
              <w:jc w:val="center"/>
              <w:textAlignment w:val="bottom"/>
              <w:rPr>
                <w:rFonts w:ascii="Times New Roman" w:hAnsi="Times New Roman" w:cs="Times New Roman"/>
                <w:b/>
                <w:bCs/>
                <w:color w:val="000000"/>
                <w:sz w:val="20"/>
                <w:szCs w:val="20"/>
              </w:rPr>
            </w:pPr>
            <w:r>
              <w:rPr>
                <w:rFonts w:ascii="Times New Roman" w:hAnsi="Times New Roman" w:eastAsia="宋体" w:cs="Times New Roman"/>
                <w:b/>
                <w:bCs/>
                <w:color w:val="000000"/>
                <w:kern w:val="0"/>
                <w:sz w:val="20"/>
                <w:szCs w:val="20"/>
                <w:lang w:bidi="ar"/>
              </w:rPr>
              <w:t>Level</w:t>
            </w:r>
          </w:p>
        </w:tc>
        <w:tc>
          <w:tcPr>
            <w:tcW w:w="1480" w:type="dxa"/>
            <w:tcBorders>
              <w:left w:val="nil"/>
              <w:bottom w:val="single" w:color="auto" w:sz="6" w:space="0"/>
              <w:right w:val="nil"/>
            </w:tcBorders>
            <w:shd w:val="clear" w:color="auto" w:fill="auto"/>
            <w:noWrap/>
          </w:tcPr>
          <w:p w14:paraId="7B7333BA">
            <w:pPr>
              <w:widowControl/>
              <w:jc w:val="center"/>
              <w:textAlignment w:val="bottom"/>
              <w:rPr>
                <w:rFonts w:ascii="Times New Roman" w:hAnsi="Times New Roman" w:cs="Times New Roman"/>
                <w:b/>
                <w:bCs/>
                <w:color w:val="000000"/>
                <w:sz w:val="20"/>
                <w:szCs w:val="20"/>
              </w:rPr>
            </w:pPr>
            <w:r>
              <w:rPr>
                <w:rFonts w:ascii="Times New Roman" w:hAnsi="Times New Roman" w:eastAsia="宋体" w:cs="Times New Roman"/>
                <w:b/>
                <w:bCs/>
                <w:color w:val="000000"/>
                <w:kern w:val="0"/>
                <w:sz w:val="20"/>
                <w:szCs w:val="20"/>
                <w:lang w:bidi="ar"/>
              </w:rPr>
              <w:t>Risk Factors</w:t>
            </w:r>
          </w:p>
        </w:tc>
        <w:tc>
          <w:tcPr>
            <w:tcW w:w="1480" w:type="dxa"/>
            <w:tcBorders>
              <w:left w:val="nil"/>
              <w:bottom w:val="single" w:color="auto" w:sz="6" w:space="0"/>
              <w:right w:val="nil"/>
            </w:tcBorders>
            <w:shd w:val="clear" w:color="auto" w:fill="auto"/>
            <w:noWrap/>
          </w:tcPr>
          <w:p w14:paraId="0D944F40">
            <w:pPr>
              <w:widowControl/>
              <w:jc w:val="center"/>
              <w:textAlignment w:val="bottom"/>
              <w:rPr>
                <w:rFonts w:ascii="Times New Roman" w:hAnsi="Times New Roman" w:cs="Times New Roman"/>
                <w:b/>
                <w:bCs/>
                <w:color w:val="000000"/>
                <w:sz w:val="20"/>
                <w:szCs w:val="20"/>
              </w:rPr>
            </w:pPr>
            <w:r>
              <w:rPr>
                <w:rFonts w:ascii="Times New Roman" w:hAnsi="Times New Roman" w:eastAsia="宋体" w:cs="Times New Roman"/>
                <w:b/>
                <w:bCs/>
                <w:color w:val="000000"/>
                <w:kern w:val="0"/>
                <w:sz w:val="20"/>
                <w:szCs w:val="20"/>
                <w:lang w:bidi="ar"/>
              </w:rPr>
              <w:t>DALYs in 2021, thousands (95% UI)</w:t>
            </w:r>
          </w:p>
        </w:tc>
        <w:tc>
          <w:tcPr>
            <w:tcW w:w="1591" w:type="dxa"/>
            <w:tcBorders>
              <w:left w:val="nil"/>
              <w:bottom w:val="single" w:color="auto" w:sz="6" w:space="0"/>
              <w:right w:val="nil"/>
            </w:tcBorders>
            <w:shd w:val="clear" w:color="auto" w:fill="auto"/>
            <w:noWrap/>
          </w:tcPr>
          <w:p w14:paraId="0DB0F44A">
            <w:pPr>
              <w:widowControl/>
              <w:jc w:val="center"/>
              <w:textAlignment w:val="bottom"/>
              <w:rPr>
                <w:rFonts w:ascii="Times New Roman" w:hAnsi="Times New Roman" w:cs="Times New Roman"/>
                <w:b/>
                <w:bCs/>
                <w:color w:val="000000"/>
                <w:sz w:val="20"/>
                <w:szCs w:val="20"/>
              </w:rPr>
            </w:pPr>
            <w:r>
              <w:rPr>
                <w:rFonts w:ascii="Times New Roman" w:hAnsi="Times New Roman" w:eastAsia="宋体" w:cs="Times New Roman"/>
                <w:b/>
                <w:bCs/>
                <w:color w:val="000000"/>
                <w:kern w:val="0"/>
                <w:sz w:val="20"/>
                <w:szCs w:val="20"/>
                <w:lang w:bidi="ar"/>
              </w:rPr>
              <w:t>Percentage change in DALYs, 1990–2021 (95% UI)</w:t>
            </w:r>
          </w:p>
        </w:tc>
        <w:tc>
          <w:tcPr>
            <w:tcW w:w="1369" w:type="dxa"/>
            <w:tcBorders>
              <w:left w:val="nil"/>
              <w:bottom w:val="single" w:color="auto" w:sz="6" w:space="0"/>
              <w:right w:val="nil"/>
            </w:tcBorders>
            <w:shd w:val="clear" w:color="auto" w:fill="auto"/>
            <w:noWrap/>
          </w:tcPr>
          <w:p w14:paraId="58986A89">
            <w:pPr>
              <w:widowControl/>
              <w:jc w:val="center"/>
              <w:textAlignment w:val="bottom"/>
              <w:rPr>
                <w:rFonts w:ascii="Times New Roman" w:hAnsi="Times New Roman" w:cs="Times New Roman"/>
                <w:b/>
                <w:bCs/>
                <w:color w:val="000000"/>
                <w:sz w:val="20"/>
                <w:szCs w:val="20"/>
              </w:rPr>
            </w:pPr>
            <w:r>
              <w:rPr>
                <w:rFonts w:ascii="Times New Roman" w:hAnsi="Times New Roman" w:eastAsia="宋体" w:cs="Times New Roman"/>
                <w:b/>
                <w:bCs/>
                <w:color w:val="000000"/>
                <w:kern w:val="0"/>
                <w:sz w:val="20"/>
                <w:szCs w:val="20"/>
                <w:lang w:bidi="ar"/>
              </w:rPr>
              <w:t>Age standardised DALY rate in 2021, per 100,000 (95% CI)</w:t>
            </w:r>
          </w:p>
        </w:tc>
        <w:tc>
          <w:tcPr>
            <w:tcW w:w="1480" w:type="dxa"/>
            <w:tcBorders>
              <w:left w:val="nil"/>
              <w:bottom w:val="single" w:color="auto" w:sz="6" w:space="0"/>
              <w:right w:val="nil"/>
            </w:tcBorders>
            <w:shd w:val="clear" w:color="auto" w:fill="auto"/>
            <w:noWrap/>
          </w:tcPr>
          <w:p w14:paraId="6A3BF7B0">
            <w:pPr>
              <w:widowControl/>
              <w:jc w:val="center"/>
              <w:textAlignment w:val="bottom"/>
              <w:rPr>
                <w:rFonts w:ascii="Times New Roman" w:hAnsi="Times New Roman" w:cs="Times New Roman"/>
                <w:b/>
                <w:bCs/>
                <w:color w:val="000000"/>
                <w:sz w:val="20"/>
                <w:szCs w:val="20"/>
              </w:rPr>
            </w:pPr>
            <w:r>
              <w:rPr>
                <w:rFonts w:ascii="Times New Roman" w:hAnsi="Times New Roman" w:eastAsia="宋体" w:cs="Times New Roman"/>
                <w:b/>
                <w:bCs/>
                <w:color w:val="000000"/>
                <w:kern w:val="0"/>
                <w:sz w:val="20"/>
                <w:szCs w:val="20"/>
                <w:lang w:bidi="ar"/>
              </w:rPr>
              <w:t>EAPC 1990</w:t>
            </w:r>
            <w:r>
              <w:rPr>
                <w:rFonts w:hint="eastAsia" w:ascii="Times New Roman" w:hAnsi="Times New Roman" w:eastAsia="宋体" w:cs="Times New Roman"/>
                <w:b/>
                <w:bCs/>
                <w:color w:val="000000"/>
                <w:kern w:val="0"/>
                <w:sz w:val="20"/>
                <w:szCs w:val="20"/>
                <w:lang w:bidi="ar"/>
              </w:rPr>
              <w:t>-</w:t>
            </w:r>
            <w:r>
              <w:rPr>
                <w:rFonts w:ascii="Times New Roman" w:hAnsi="Times New Roman" w:eastAsia="宋体" w:cs="Times New Roman"/>
                <w:b/>
                <w:bCs/>
                <w:color w:val="000000"/>
                <w:kern w:val="0"/>
                <w:sz w:val="20"/>
                <w:szCs w:val="20"/>
                <w:lang w:bidi="ar"/>
              </w:rPr>
              <w:t xml:space="preserve"> 2021</w:t>
            </w:r>
          </w:p>
        </w:tc>
        <w:tc>
          <w:tcPr>
            <w:tcW w:w="1480" w:type="dxa"/>
            <w:tcBorders>
              <w:left w:val="nil"/>
              <w:bottom w:val="single" w:color="auto" w:sz="6" w:space="0"/>
              <w:right w:val="nil"/>
            </w:tcBorders>
            <w:shd w:val="clear" w:color="auto" w:fill="auto"/>
            <w:noWrap/>
          </w:tcPr>
          <w:p w14:paraId="199A06B0">
            <w:pPr>
              <w:widowControl/>
              <w:jc w:val="center"/>
              <w:textAlignment w:val="bottom"/>
              <w:rPr>
                <w:rFonts w:ascii="Times New Roman" w:hAnsi="Times New Roman" w:cs="Times New Roman"/>
                <w:b/>
                <w:bCs/>
                <w:color w:val="000000"/>
                <w:sz w:val="20"/>
                <w:szCs w:val="20"/>
              </w:rPr>
            </w:pPr>
            <w:r>
              <w:rPr>
                <w:rFonts w:ascii="Times New Roman" w:hAnsi="Times New Roman" w:eastAsia="宋体" w:cs="Times New Roman"/>
                <w:b/>
                <w:bCs/>
                <w:color w:val="000000"/>
                <w:kern w:val="0"/>
                <w:sz w:val="20"/>
                <w:szCs w:val="20"/>
                <w:lang w:bidi="ar"/>
              </w:rPr>
              <w:t>Deaths in 2021, thousands (95% UI)</w:t>
            </w:r>
          </w:p>
        </w:tc>
        <w:tc>
          <w:tcPr>
            <w:tcW w:w="1480" w:type="dxa"/>
            <w:tcBorders>
              <w:left w:val="nil"/>
              <w:bottom w:val="single" w:color="auto" w:sz="6" w:space="0"/>
              <w:right w:val="nil"/>
            </w:tcBorders>
            <w:shd w:val="clear" w:color="auto" w:fill="auto"/>
            <w:noWrap/>
          </w:tcPr>
          <w:p w14:paraId="44FF490E">
            <w:pPr>
              <w:widowControl/>
              <w:jc w:val="center"/>
              <w:textAlignment w:val="bottom"/>
              <w:rPr>
                <w:rFonts w:ascii="Times New Roman" w:hAnsi="Times New Roman" w:cs="Times New Roman"/>
                <w:b/>
                <w:bCs/>
                <w:color w:val="000000"/>
                <w:sz w:val="20"/>
                <w:szCs w:val="20"/>
              </w:rPr>
            </w:pPr>
            <w:r>
              <w:rPr>
                <w:rFonts w:ascii="Times New Roman" w:hAnsi="Times New Roman" w:eastAsia="宋体" w:cs="Times New Roman"/>
                <w:b/>
                <w:bCs/>
                <w:color w:val="000000"/>
                <w:kern w:val="0"/>
                <w:sz w:val="20"/>
                <w:szCs w:val="20"/>
                <w:lang w:bidi="ar"/>
              </w:rPr>
              <w:t>Percentage change in deaths, 1990–2021 (95% UI)</w:t>
            </w:r>
          </w:p>
        </w:tc>
        <w:tc>
          <w:tcPr>
            <w:tcW w:w="1565" w:type="dxa"/>
            <w:tcBorders>
              <w:left w:val="nil"/>
              <w:bottom w:val="single" w:color="auto" w:sz="6" w:space="0"/>
              <w:right w:val="nil"/>
            </w:tcBorders>
            <w:shd w:val="clear" w:color="auto" w:fill="auto"/>
            <w:noWrap/>
          </w:tcPr>
          <w:p w14:paraId="10A283FE">
            <w:pPr>
              <w:widowControl/>
              <w:jc w:val="center"/>
              <w:textAlignment w:val="bottom"/>
              <w:rPr>
                <w:rFonts w:ascii="Times New Roman" w:hAnsi="Times New Roman" w:cs="Times New Roman"/>
                <w:b/>
                <w:bCs/>
                <w:color w:val="000000"/>
                <w:sz w:val="20"/>
                <w:szCs w:val="20"/>
              </w:rPr>
            </w:pPr>
            <w:r>
              <w:rPr>
                <w:rFonts w:ascii="Times New Roman" w:hAnsi="Times New Roman" w:eastAsia="宋体" w:cs="Times New Roman"/>
                <w:b/>
                <w:bCs/>
                <w:color w:val="000000"/>
                <w:kern w:val="0"/>
                <w:sz w:val="20"/>
                <w:szCs w:val="20"/>
                <w:lang w:bidi="ar"/>
              </w:rPr>
              <w:t>Age standardised mortality rate in 2021, per 100,000 (95% CI)</w:t>
            </w:r>
          </w:p>
        </w:tc>
        <w:tc>
          <w:tcPr>
            <w:tcW w:w="1488" w:type="dxa"/>
            <w:tcBorders>
              <w:left w:val="nil"/>
              <w:bottom w:val="single" w:color="auto" w:sz="6" w:space="0"/>
              <w:right w:val="nil"/>
            </w:tcBorders>
            <w:shd w:val="clear" w:color="auto" w:fill="auto"/>
            <w:noWrap/>
          </w:tcPr>
          <w:p w14:paraId="45AE5BF3">
            <w:pPr>
              <w:widowControl/>
              <w:jc w:val="center"/>
              <w:textAlignment w:val="bottom"/>
              <w:rPr>
                <w:rFonts w:ascii="Times New Roman" w:hAnsi="Times New Roman" w:cs="Times New Roman"/>
                <w:b/>
                <w:bCs/>
                <w:color w:val="000000"/>
                <w:sz w:val="20"/>
                <w:szCs w:val="20"/>
              </w:rPr>
            </w:pPr>
            <w:r>
              <w:rPr>
                <w:rFonts w:ascii="Times New Roman" w:hAnsi="Times New Roman" w:eastAsia="宋体" w:cs="Times New Roman"/>
                <w:b/>
                <w:bCs/>
                <w:color w:val="000000"/>
                <w:kern w:val="0"/>
                <w:sz w:val="20"/>
                <w:szCs w:val="20"/>
                <w:lang w:bidi="ar"/>
              </w:rPr>
              <w:t>EAPC 1990-2021</w:t>
            </w:r>
          </w:p>
        </w:tc>
      </w:tr>
      <w:tr w14:paraId="0BEC11E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single" w:color="auto" w:sz="6" w:space="0"/>
              <w:left w:val="nil"/>
              <w:bottom w:val="nil"/>
              <w:right w:val="nil"/>
            </w:tcBorders>
            <w:shd w:val="clear" w:color="auto" w:fill="auto"/>
            <w:noWrap/>
          </w:tcPr>
          <w:p w14:paraId="1E602BE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w:t>
            </w:r>
          </w:p>
        </w:tc>
        <w:tc>
          <w:tcPr>
            <w:tcW w:w="1480" w:type="dxa"/>
            <w:tcBorders>
              <w:top w:val="single" w:color="auto" w:sz="6" w:space="0"/>
              <w:left w:val="nil"/>
              <w:bottom w:val="nil"/>
              <w:right w:val="nil"/>
            </w:tcBorders>
            <w:shd w:val="clear" w:color="auto" w:fill="auto"/>
            <w:noWrap/>
          </w:tcPr>
          <w:p w14:paraId="6A80049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All risk factors</w:t>
            </w:r>
          </w:p>
        </w:tc>
        <w:tc>
          <w:tcPr>
            <w:tcW w:w="1480" w:type="dxa"/>
            <w:tcBorders>
              <w:top w:val="single" w:color="auto" w:sz="6" w:space="0"/>
              <w:left w:val="nil"/>
              <w:bottom w:val="nil"/>
              <w:right w:val="nil"/>
            </w:tcBorders>
            <w:shd w:val="clear" w:color="auto" w:fill="auto"/>
            <w:noWrap/>
          </w:tcPr>
          <w:p w14:paraId="4C3D1B5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108,001.66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(93,880.98 to 124,102.53)</w:t>
            </w:r>
          </w:p>
        </w:tc>
        <w:tc>
          <w:tcPr>
            <w:tcW w:w="1591" w:type="dxa"/>
            <w:tcBorders>
              <w:top w:val="single" w:color="auto" w:sz="6" w:space="0"/>
              <w:left w:val="nil"/>
              <w:bottom w:val="nil"/>
              <w:right w:val="nil"/>
            </w:tcBorders>
            <w:shd w:val="clear" w:color="auto" w:fill="auto"/>
            <w:noWrap/>
          </w:tcPr>
          <w:p w14:paraId="5F4F274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29.84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(23.29 to 36.36)</w:t>
            </w:r>
          </w:p>
        </w:tc>
        <w:tc>
          <w:tcPr>
            <w:tcW w:w="1369" w:type="dxa"/>
            <w:tcBorders>
              <w:top w:val="single" w:color="auto" w:sz="6" w:space="0"/>
              <w:left w:val="nil"/>
              <w:bottom w:val="nil"/>
              <w:right w:val="nil"/>
            </w:tcBorders>
            <w:shd w:val="clear" w:color="auto" w:fill="auto"/>
            <w:noWrap/>
          </w:tcPr>
          <w:p w14:paraId="7AA1E77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5441.43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(5440.4 to 5442.46)</w:t>
            </w:r>
          </w:p>
        </w:tc>
        <w:tc>
          <w:tcPr>
            <w:tcW w:w="1480" w:type="dxa"/>
            <w:tcBorders>
              <w:top w:val="single" w:color="auto" w:sz="6" w:space="0"/>
              <w:left w:val="nil"/>
              <w:bottom w:val="nil"/>
              <w:right w:val="nil"/>
            </w:tcBorders>
            <w:shd w:val="clear" w:color="auto" w:fill="auto"/>
            <w:noWrap/>
          </w:tcPr>
          <w:p w14:paraId="3039ADE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-0.96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(-1.27 to -0.65)</w:t>
            </w:r>
          </w:p>
        </w:tc>
        <w:tc>
          <w:tcPr>
            <w:tcW w:w="1480" w:type="dxa"/>
            <w:tcBorders>
              <w:top w:val="single" w:color="auto" w:sz="6" w:space="0"/>
              <w:left w:val="nil"/>
              <w:bottom w:val="nil"/>
              <w:right w:val="nil"/>
            </w:tcBorders>
            <w:shd w:val="clear" w:color="auto" w:fill="auto"/>
            <w:noWrap/>
          </w:tcPr>
          <w:p w14:paraId="2FD233F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1,099.32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(1,015.34 to 1,186.93)</w:t>
            </w:r>
          </w:p>
        </w:tc>
        <w:tc>
          <w:tcPr>
            <w:tcW w:w="1480" w:type="dxa"/>
            <w:tcBorders>
              <w:top w:val="single" w:color="auto" w:sz="6" w:space="0"/>
              <w:left w:val="nil"/>
              <w:bottom w:val="nil"/>
              <w:right w:val="nil"/>
            </w:tcBorders>
            <w:shd w:val="clear" w:color="auto" w:fill="auto"/>
            <w:noWrap/>
          </w:tcPr>
          <w:p w14:paraId="2E1F6C0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19.29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(9.98 to 28.62)</w:t>
            </w:r>
          </w:p>
        </w:tc>
        <w:tc>
          <w:tcPr>
            <w:tcW w:w="1565" w:type="dxa"/>
            <w:tcBorders>
              <w:top w:val="single" w:color="auto" w:sz="6" w:space="0"/>
              <w:left w:val="nil"/>
              <w:bottom w:val="nil"/>
              <w:right w:val="nil"/>
            </w:tcBorders>
            <w:shd w:val="clear" w:color="auto" w:fill="auto"/>
            <w:noWrap/>
          </w:tcPr>
          <w:p w14:paraId="068053B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54.67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(54.57 to 54.78)</w:t>
            </w:r>
          </w:p>
        </w:tc>
        <w:tc>
          <w:tcPr>
            <w:tcW w:w="1488" w:type="dxa"/>
            <w:tcBorders>
              <w:top w:val="single" w:color="auto" w:sz="6" w:space="0"/>
              <w:left w:val="nil"/>
              <w:bottom w:val="nil"/>
              <w:right w:val="nil"/>
            </w:tcBorders>
            <w:shd w:val="clear" w:color="auto" w:fill="auto"/>
            <w:noWrap/>
          </w:tcPr>
          <w:p w14:paraId="0417462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(-1.99 to -1.03)</w:t>
            </w:r>
          </w:p>
        </w:tc>
      </w:tr>
      <w:tr w14:paraId="196BBB9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A769CE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w:t>
            </w:r>
          </w:p>
        </w:tc>
        <w:tc>
          <w:tcPr>
            <w:tcW w:w="1480" w:type="dxa"/>
            <w:tcBorders>
              <w:top w:val="nil"/>
              <w:left w:val="nil"/>
              <w:bottom w:val="nil"/>
              <w:right w:val="nil"/>
            </w:tcBorders>
            <w:shd w:val="clear" w:color="auto" w:fill="auto"/>
            <w:noWrap/>
          </w:tcPr>
          <w:p w14:paraId="336F5F8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Environmental/occupational risks</w:t>
            </w:r>
          </w:p>
        </w:tc>
        <w:tc>
          <w:tcPr>
            <w:tcW w:w="1480" w:type="dxa"/>
            <w:tcBorders>
              <w:top w:val="nil"/>
              <w:left w:val="nil"/>
              <w:bottom w:val="nil"/>
              <w:right w:val="nil"/>
            </w:tcBorders>
            <w:shd w:val="clear" w:color="auto" w:fill="auto"/>
            <w:noWrap/>
          </w:tcPr>
          <w:p w14:paraId="52AFBA3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25,682.53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(21,714.43 to 30,016.82)</w:t>
            </w:r>
          </w:p>
        </w:tc>
        <w:tc>
          <w:tcPr>
            <w:tcW w:w="1591" w:type="dxa"/>
            <w:tcBorders>
              <w:top w:val="nil"/>
              <w:left w:val="nil"/>
              <w:bottom w:val="nil"/>
              <w:right w:val="nil"/>
            </w:tcBorders>
            <w:shd w:val="clear" w:color="auto" w:fill="auto"/>
            <w:noWrap/>
          </w:tcPr>
          <w:p w14:paraId="3A88C95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-5.20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(-14.60 to 4.04)</w:t>
            </w:r>
          </w:p>
        </w:tc>
        <w:tc>
          <w:tcPr>
            <w:tcW w:w="1369" w:type="dxa"/>
            <w:tcBorders>
              <w:top w:val="nil"/>
              <w:left w:val="nil"/>
              <w:bottom w:val="nil"/>
              <w:right w:val="nil"/>
            </w:tcBorders>
            <w:shd w:val="clear" w:color="auto" w:fill="auto"/>
            <w:noWrap/>
          </w:tcPr>
          <w:p w14:paraId="2CA01EB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1288.82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(1288.32 to 1289.32)</w:t>
            </w:r>
          </w:p>
        </w:tc>
        <w:tc>
          <w:tcPr>
            <w:tcW w:w="1480" w:type="dxa"/>
            <w:tcBorders>
              <w:top w:val="nil"/>
              <w:left w:val="nil"/>
              <w:bottom w:val="nil"/>
              <w:right w:val="nil"/>
            </w:tcBorders>
            <w:shd w:val="clear" w:color="auto" w:fill="auto"/>
            <w:noWrap/>
          </w:tcPr>
          <w:p w14:paraId="15C80B3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(-1.85 to -1.74)</w:t>
            </w:r>
          </w:p>
        </w:tc>
        <w:tc>
          <w:tcPr>
            <w:tcW w:w="1480" w:type="dxa"/>
            <w:tcBorders>
              <w:top w:val="nil"/>
              <w:left w:val="nil"/>
              <w:bottom w:val="nil"/>
              <w:right w:val="nil"/>
            </w:tcBorders>
            <w:shd w:val="clear" w:color="auto" w:fill="auto"/>
            <w:noWrap/>
          </w:tcPr>
          <w:p w14:paraId="3663B6B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271.97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(231.68 to 319.67)</w:t>
            </w:r>
          </w:p>
        </w:tc>
        <w:tc>
          <w:tcPr>
            <w:tcW w:w="1480" w:type="dxa"/>
            <w:tcBorders>
              <w:top w:val="nil"/>
              <w:left w:val="nil"/>
              <w:bottom w:val="nil"/>
              <w:right w:val="nil"/>
            </w:tcBorders>
            <w:shd w:val="clear" w:color="auto" w:fill="auto"/>
            <w:noWrap/>
          </w:tcPr>
          <w:p w14:paraId="2A6573F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-19.58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(-29.16 to -8.91)</w:t>
            </w:r>
          </w:p>
        </w:tc>
        <w:tc>
          <w:tcPr>
            <w:tcW w:w="1565" w:type="dxa"/>
            <w:tcBorders>
              <w:top w:val="nil"/>
              <w:left w:val="nil"/>
              <w:bottom w:val="nil"/>
              <w:right w:val="nil"/>
            </w:tcBorders>
            <w:shd w:val="clear" w:color="auto" w:fill="auto"/>
            <w:noWrap/>
          </w:tcPr>
          <w:p w14:paraId="111F346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13.52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(13.47 to 13.57)</w:t>
            </w:r>
          </w:p>
        </w:tc>
        <w:tc>
          <w:tcPr>
            <w:tcW w:w="1488" w:type="dxa"/>
            <w:tcBorders>
              <w:top w:val="nil"/>
              <w:left w:val="nil"/>
              <w:bottom w:val="nil"/>
              <w:right w:val="nil"/>
            </w:tcBorders>
            <w:shd w:val="clear" w:color="auto" w:fill="auto"/>
            <w:noWrap/>
          </w:tcPr>
          <w:p w14:paraId="752B4E6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-2.46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(-2.53 to -2.39)</w:t>
            </w:r>
          </w:p>
        </w:tc>
      </w:tr>
      <w:tr w14:paraId="4072D90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550807D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30218C3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Unsafe water, sanitation, and handwashing</w:t>
            </w:r>
          </w:p>
        </w:tc>
        <w:tc>
          <w:tcPr>
            <w:tcW w:w="1480" w:type="dxa"/>
            <w:tcBorders>
              <w:top w:val="nil"/>
              <w:left w:val="nil"/>
              <w:bottom w:val="nil"/>
              <w:right w:val="nil"/>
            </w:tcBorders>
            <w:shd w:val="clear" w:color="auto" w:fill="auto"/>
            <w:noWrap/>
          </w:tcPr>
          <w:p w14:paraId="120DBE6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4,215.31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(2,434.31 to 6,762.93)</w:t>
            </w:r>
          </w:p>
        </w:tc>
        <w:tc>
          <w:tcPr>
            <w:tcW w:w="1591" w:type="dxa"/>
            <w:tcBorders>
              <w:top w:val="nil"/>
              <w:left w:val="nil"/>
              <w:bottom w:val="nil"/>
              <w:right w:val="nil"/>
            </w:tcBorders>
            <w:shd w:val="clear" w:color="auto" w:fill="auto"/>
            <w:noWrap/>
          </w:tcPr>
          <w:p w14:paraId="344F334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-34.41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(-50.17 to -10.37)</w:t>
            </w:r>
          </w:p>
        </w:tc>
        <w:tc>
          <w:tcPr>
            <w:tcW w:w="1369" w:type="dxa"/>
            <w:tcBorders>
              <w:top w:val="nil"/>
              <w:left w:val="nil"/>
              <w:bottom w:val="nil"/>
              <w:right w:val="nil"/>
            </w:tcBorders>
            <w:shd w:val="clear" w:color="auto" w:fill="auto"/>
            <w:noWrap/>
          </w:tcPr>
          <w:p w14:paraId="5D6E7F1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217.77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(217.57 to 217.98)</w:t>
            </w:r>
          </w:p>
        </w:tc>
        <w:tc>
          <w:tcPr>
            <w:tcW w:w="1480" w:type="dxa"/>
            <w:tcBorders>
              <w:top w:val="nil"/>
              <w:left w:val="nil"/>
              <w:bottom w:val="nil"/>
              <w:right w:val="nil"/>
            </w:tcBorders>
            <w:shd w:val="clear" w:color="auto" w:fill="auto"/>
            <w:noWrap/>
          </w:tcPr>
          <w:p w14:paraId="730F32F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-2.77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(-2.86 to -2.68)</w:t>
            </w:r>
          </w:p>
        </w:tc>
        <w:tc>
          <w:tcPr>
            <w:tcW w:w="1480" w:type="dxa"/>
            <w:tcBorders>
              <w:top w:val="nil"/>
              <w:left w:val="nil"/>
              <w:bottom w:val="nil"/>
              <w:right w:val="nil"/>
            </w:tcBorders>
            <w:shd w:val="clear" w:color="auto" w:fill="auto"/>
            <w:noWrap/>
          </w:tcPr>
          <w:p w14:paraId="2923B0E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49.77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(22.04 to 92.96)</w:t>
            </w:r>
          </w:p>
        </w:tc>
        <w:tc>
          <w:tcPr>
            <w:tcW w:w="1480" w:type="dxa"/>
            <w:tcBorders>
              <w:top w:val="nil"/>
              <w:left w:val="nil"/>
              <w:bottom w:val="nil"/>
              <w:right w:val="nil"/>
            </w:tcBorders>
            <w:shd w:val="clear" w:color="auto" w:fill="auto"/>
            <w:noWrap/>
          </w:tcPr>
          <w:p w14:paraId="5946998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-48.95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(-65.13 to -26.61)</w:t>
            </w:r>
          </w:p>
        </w:tc>
        <w:tc>
          <w:tcPr>
            <w:tcW w:w="1565" w:type="dxa"/>
            <w:tcBorders>
              <w:top w:val="nil"/>
              <w:left w:val="nil"/>
              <w:bottom w:val="nil"/>
              <w:right w:val="nil"/>
            </w:tcBorders>
            <w:shd w:val="clear" w:color="auto" w:fill="auto"/>
            <w:noWrap/>
          </w:tcPr>
          <w:p w14:paraId="047BF94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2.54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(2.52 to 2.57)</w:t>
            </w:r>
          </w:p>
        </w:tc>
        <w:tc>
          <w:tcPr>
            <w:tcW w:w="1488" w:type="dxa"/>
            <w:tcBorders>
              <w:top w:val="nil"/>
              <w:left w:val="nil"/>
              <w:bottom w:val="nil"/>
              <w:right w:val="nil"/>
            </w:tcBorders>
            <w:shd w:val="clear" w:color="auto" w:fill="auto"/>
            <w:noWrap/>
          </w:tcPr>
          <w:p w14:paraId="2316E59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-3.64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(-3.71 to -3.58)</w:t>
            </w:r>
          </w:p>
        </w:tc>
      </w:tr>
      <w:tr w14:paraId="6D75270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10FCAF1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48D6057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Unsafe water source</w:t>
            </w:r>
          </w:p>
        </w:tc>
        <w:tc>
          <w:tcPr>
            <w:tcW w:w="1480" w:type="dxa"/>
            <w:tcBorders>
              <w:top w:val="nil"/>
              <w:left w:val="nil"/>
              <w:bottom w:val="nil"/>
              <w:right w:val="nil"/>
            </w:tcBorders>
            <w:shd w:val="clear" w:color="auto" w:fill="auto"/>
            <w:noWrap/>
          </w:tcPr>
          <w:p w14:paraId="559D30C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3,019.18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(1,272.02 to 5,408.91)</w:t>
            </w:r>
          </w:p>
        </w:tc>
        <w:tc>
          <w:tcPr>
            <w:tcW w:w="1591" w:type="dxa"/>
            <w:tcBorders>
              <w:top w:val="nil"/>
              <w:left w:val="nil"/>
              <w:bottom w:val="nil"/>
              <w:right w:val="nil"/>
            </w:tcBorders>
            <w:shd w:val="clear" w:color="auto" w:fill="auto"/>
            <w:noWrap/>
          </w:tcPr>
          <w:p w14:paraId="0A64134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-36.42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(-51.77 to -10.01)</w:t>
            </w:r>
          </w:p>
        </w:tc>
        <w:tc>
          <w:tcPr>
            <w:tcW w:w="1369" w:type="dxa"/>
            <w:tcBorders>
              <w:top w:val="nil"/>
              <w:left w:val="nil"/>
              <w:bottom w:val="nil"/>
              <w:right w:val="nil"/>
            </w:tcBorders>
            <w:shd w:val="clear" w:color="auto" w:fill="auto"/>
            <w:noWrap/>
          </w:tcPr>
          <w:p w14:paraId="3C43BF3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156.1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(155.93 to 156.28)</w:t>
            </w:r>
          </w:p>
        </w:tc>
        <w:tc>
          <w:tcPr>
            <w:tcW w:w="1480" w:type="dxa"/>
            <w:tcBorders>
              <w:top w:val="nil"/>
              <w:left w:val="nil"/>
              <w:bottom w:val="nil"/>
              <w:right w:val="nil"/>
            </w:tcBorders>
            <w:shd w:val="clear" w:color="auto" w:fill="auto"/>
            <w:noWrap/>
          </w:tcPr>
          <w:p w14:paraId="0E0A8A1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-2.89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(-2.99 to -2.78)</w:t>
            </w:r>
          </w:p>
        </w:tc>
        <w:tc>
          <w:tcPr>
            <w:tcW w:w="1480" w:type="dxa"/>
            <w:tcBorders>
              <w:top w:val="nil"/>
              <w:left w:val="nil"/>
              <w:bottom w:val="nil"/>
              <w:right w:val="nil"/>
            </w:tcBorders>
            <w:shd w:val="clear" w:color="auto" w:fill="auto"/>
            <w:noWrap/>
          </w:tcPr>
          <w:p w14:paraId="455FDB7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33.78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(10.54 to 70.76)</w:t>
            </w:r>
          </w:p>
        </w:tc>
        <w:tc>
          <w:tcPr>
            <w:tcW w:w="1480" w:type="dxa"/>
            <w:tcBorders>
              <w:top w:val="nil"/>
              <w:left w:val="nil"/>
              <w:bottom w:val="nil"/>
              <w:right w:val="nil"/>
            </w:tcBorders>
            <w:shd w:val="clear" w:color="auto" w:fill="auto"/>
            <w:noWrap/>
          </w:tcPr>
          <w:p w14:paraId="0974030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-52.70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(-67.27 to -27.91)</w:t>
            </w:r>
          </w:p>
        </w:tc>
        <w:tc>
          <w:tcPr>
            <w:tcW w:w="1565" w:type="dxa"/>
            <w:tcBorders>
              <w:top w:val="nil"/>
              <w:left w:val="nil"/>
              <w:bottom w:val="nil"/>
              <w:right w:val="nil"/>
            </w:tcBorders>
            <w:shd w:val="clear" w:color="auto" w:fill="auto"/>
            <w:noWrap/>
          </w:tcPr>
          <w:p w14:paraId="42A6163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(1.71 to 1.75)</w:t>
            </w:r>
          </w:p>
        </w:tc>
        <w:tc>
          <w:tcPr>
            <w:tcW w:w="1488" w:type="dxa"/>
            <w:tcBorders>
              <w:top w:val="nil"/>
              <w:left w:val="nil"/>
              <w:bottom w:val="nil"/>
              <w:right w:val="nil"/>
            </w:tcBorders>
            <w:shd w:val="clear" w:color="auto" w:fill="auto"/>
            <w:noWrap/>
          </w:tcPr>
          <w:p w14:paraId="78AF058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(-3.98 to -3.83)</w:t>
            </w:r>
          </w:p>
        </w:tc>
      </w:tr>
      <w:tr w14:paraId="1718E96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4266F68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030D9CA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Unsafe sanitation</w:t>
            </w:r>
          </w:p>
        </w:tc>
        <w:tc>
          <w:tcPr>
            <w:tcW w:w="1480" w:type="dxa"/>
            <w:tcBorders>
              <w:top w:val="nil"/>
              <w:left w:val="nil"/>
              <w:bottom w:val="nil"/>
              <w:right w:val="nil"/>
            </w:tcBorders>
            <w:shd w:val="clear" w:color="auto" w:fill="auto"/>
            <w:noWrap/>
          </w:tcPr>
          <w:p w14:paraId="3C3F57D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2,229.44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(1,295.34 to 3,679.16)</w:t>
            </w:r>
          </w:p>
        </w:tc>
        <w:tc>
          <w:tcPr>
            <w:tcW w:w="1591" w:type="dxa"/>
            <w:tcBorders>
              <w:top w:val="nil"/>
              <w:left w:val="nil"/>
              <w:bottom w:val="nil"/>
              <w:right w:val="nil"/>
            </w:tcBorders>
            <w:shd w:val="clear" w:color="auto" w:fill="auto"/>
            <w:noWrap/>
          </w:tcPr>
          <w:p w14:paraId="651963D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-45.33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(-58.46 to -22.07)</w:t>
            </w:r>
          </w:p>
        </w:tc>
        <w:tc>
          <w:tcPr>
            <w:tcW w:w="1369" w:type="dxa"/>
            <w:tcBorders>
              <w:top w:val="nil"/>
              <w:left w:val="nil"/>
              <w:bottom w:val="nil"/>
              <w:right w:val="nil"/>
            </w:tcBorders>
            <w:shd w:val="clear" w:color="auto" w:fill="auto"/>
            <w:noWrap/>
          </w:tcPr>
          <w:p w14:paraId="1A1726D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115.35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(115.2 to 115.5)</w:t>
            </w:r>
          </w:p>
        </w:tc>
        <w:tc>
          <w:tcPr>
            <w:tcW w:w="1480" w:type="dxa"/>
            <w:tcBorders>
              <w:top w:val="nil"/>
              <w:left w:val="nil"/>
              <w:bottom w:val="nil"/>
              <w:right w:val="nil"/>
            </w:tcBorders>
            <w:shd w:val="clear" w:color="auto" w:fill="auto"/>
            <w:noWrap/>
          </w:tcPr>
          <w:p w14:paraId="0538C3E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-3.36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(-3.44 to -3.28)</w:t>
            </w:r>
          </w:p>
        </w:tc>
        <w:tc>
          <w:tcPr>
            <w:tcW w:w="1480" w:type="dxa"/>
            <w:tcBorders>
              <w:top w:val="nil"/>
              <w:left w:val="nil"/>
              <w:bottom w:val="nil"/>
              <w:right w:val="nil"/>
            </w:tcBorders>
            <w:shd w:val="clear" w:color="auto" w:fill="auto"/>
            <w:noWrap/>
          </w:tcPr>
          <w:p w14:paraId="6DBFE2D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25.32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(9.60 to 50.07)</w:t>
            </w:r>
          </w:p>
        </w:tc>
        <w:tc>
          <w:tcPr>
            <w:tcW w:w="1480" w:type="dxa"/>
            <w:tcBorders>
              <w:top w:val="nil"/>
              <w:left w:val="nil"/>
              <w:bottom w:val="nil"/>
              <w:right w:val="nil"/>
            </w:tcBorders>
            <w:shd w:val="clear" w:color="auto" w:fill="auto"/>
            <w:noWrap/>
          </w:tcPr>
          <w:p w14:paraId="756EF46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-58.77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(-71.67 to -37.10)</w:t>
            </w:r>
          </w:p>
        </w:tc>
        <w:tc>
          <w:tcPr>
            <w:tcW w:w="1565" w:type="dxa"/>
            <w:tcBorders>
              <w:top w:val="nil"/>
              <w:left w:val="nil"/>
              <w:bottom w:val="nil"/>
              <w:right w:val="nil"/>
            </w:tcBorders>
            <w:shd w:val="clear" w:color="auto" w:fill="auto"/>
            <w:noWrap/>
          </w:tcPr>
          <w:p w14:paraId="3CA1FAC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(1.28 to 1.31)</w:t>
            </w:r>
          </w:p>
        </w:tc>
        <w:tc>
          <w:tcPr>
            <w:tcW w:w="1488" w:type="dxa"/>
            <w:tcBorders>
              <w:top w:val="nil"/>
              <w:left w:val="nil"/>
              <w:bottom w:val="nil"/>
              <w:right w:val="nil"/>
            </w:tcBorders>
            <w:shd w:val="clear" w:color="auto" w:fill="auto"/>
            <w:noWrap/>
          </w:tcPr>
          <w:p w14:paraId="2D1EF13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-4.33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(-4.41 to -4.26)</w:t>
            </w:r>
          </w:p>
        </w:tc>
      </w:tr>
      <w:tr w14:paraId="51EB810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1BE07A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623779B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No access to handwashing facility</w:t>
            </w:r>
          </w:p>
        </w:tc>
        <w:tc>
          <w:tcPr>
            <w:tcW w:w="1480" w:type="dxa"/>
            <w:tcBorders>
              <w:top w:val="nil"/>
              <w:left w:val="nil"/>
              <w:bottom w:val="nil"/>
              <w:right w:val="nil"/>
            </w:tcBorders>
            <w:shd w:val="clear" w:color="auto" w:fill="auto"/>
            <w:noWrap/>
          </w:tcPr>
          <w:p w14:paraId="05452D3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1,293.26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(-201.35 to 2,710.93)</w:t>
            </w:r>
          </w:p>
        </w:tc>
        <w:tc>
          <w:tcPr>
            <w:tcW w:w="1591" w:type="dxa"/>
            <w:tcBorders>
              <w:top w:val="nil"/>
              <w:left w:val="nil"/>
              <w:bottom w:val="nil"/>
              <w:right w:val="nil"/>
            </w:tcBorders>
            <w:shd w:val="clear" w:color="auto" w:fill="auto"/>
            <w:noWrap/>
          </w:tcPr>
          <w:p w14:paraId="49E522C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-36.18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(-65.91 to -8.43)</w:t>
            </w:r>
          </w:p>
        </w:tc>
        <w:tc>
          <w:tcPr>
            <w:tcW w:w="1369" w:type="dxa"/>
            <w:tcBorders>
              <w:top w:val="nil"/>
              <w:left w:val="nil"/>
              <w:bottom w:val="nil"/>
              <w:right w:val="nil"/>
            </w:tcBorders>
            <w:shd w:val="clear" w:color="auto" w:fill="auto"/>
            <w:noWrap/>
          </w:tcPr>
          <w:p w14:paraId="7673E6C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66.77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(66.65 to 66.88)</w:t>
            </w:r>
          </w:p>
        </w:tc>
        <w:tc>
          <w:tcPr>
            <w:tcW w:w="1480" w:type="dxa"/>
            <w:tcBorders>
              <w:top w:val="nil"/>
              <w:left w:val="nil"/>
              <w:bottom w:val="nil"/>
              <w:right w:val="nil"/>
            </w:tcBorders>
            <w:shd w:val="clear" w:color="auto" w:fill="auto"/>
            <w:noWrap/>
          </w:tcPr>
          <w:p w14:paraId="576A8E1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-2.82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(-2.89 to -2.76)</w:t>
            </w:r>
          </w:p>
        </w:tc>
        <w:tc>
          <w:tcPr>
            <w:tcW w:w="1480" w:type="dxa"/>
            <w:tcBorders>
              <w:top w:val="nil"/>
              <w:left w:val="nil"/>
              <w:bottom w:val="nil"/>
              <w:right w:val="nil"/>
            </w:tcBorders>
            <w:shd w:val="clear" w:color="auto" w:fill="auto"/>
            <w:noWrap/>
          </w:tcPr>
          <w:p w14:paraId="2DD9914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17.66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(-4.23 to 37.87)</w:t>
            </w:r>
          </w:p>
        </w:tc>
        <w:tc>
          <w:tcPr>
            <w:tcW w:w="1480" w:type="dxa"/>
            <w:tcBorders>
              <w:top w:val="nil"/>
              <w:left w:val="nil"/>
              <w:bottom w:val="nil"/>
              <w:right w:val="nil"/>
            </w:tcBorders>
            <w:shd w:val="clear" w:color="auto" w:fill="auto"/>
            <w:noWrap/>
          </w:tcPr>
          <w:p w14:paraId="0EA6F58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-44.40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(-87.30 to -5.45)</w:t>
            </w:r>
          </w:p>
        </w:tc>
        <w:tc>
          <w:tcPr>
            <w:tcW w:w="1565" w:type="dxa"/>
            <w:tcBorders>
              <w:top w:val="nil"/>
              <w:left w:val="nil"/>
              <w:bottom w:val="nil"/>
              <w:right w:val="nil"/>
            </w:tcBorders>
            <w:shd w:val="clear" w:color="auto" w:fill="auto"/>
            <w:noWrap/>
          </w:tcPr>
          <w:p w14:paraId="3625563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(0.89 to 0.92)</w:t>
            </w:r>
          </w:p>
        </w:tc>
        <w:tc>
          <w:tcPr>
            <w:tcW w:w="1488" w:type="dxa"/>
            <w:tcBorders>
              <w:top w:val="nil"/>
              <w:left w:val="nil"/>
              <w:bottom w:val="nil"/>
              <w:right w:val="nil"/>
            </w:tcBorders>
            <w:shd w:val="clear" w:color="auto" w:fill="auto"/>
            <w:noWrap/>
          </w:tcPr>
          <w:p w14:paraId="51695B9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-3.35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(-3.41 to -3.28)</w:t>
            </w:r>
          </w:p>
        </w:tc>
      </w:tr>
      <w:tr w14:paraId="2E80F74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52C0D25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4A52185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Air pollution</w:t>
            </w:r>
          </w:p>
        </w:tc>
        <w:tc>
          <w:tcPr>
            <w:tcW w:w="1480" w:type="dxa"/>
            <w:tcBorders>
              <w:top w:val="nil"/>
              <w:left w:val="nil"/>
              <w:bottom w:val="nil"/>
              <w:right w:val="nil"/>
            </w:tcBorders>
            <w:shd w:val="clear" w:color="auto" w:fill="auto"/>
            <w:noWrap/>
          </w:tcPr>
          <w:p w14:paraId="4A7BA48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9,119.64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(7,413.43 to 10,871.01)</w:t>
            </w:r>
          </w:p>
        </w:tc>
        <w:tc>
          <w:tcPr>
            <w:tcW w:w="1591" w:type="dxa"/>
            <w:tcBorders>
              <w:top w:val="nil"/>
              <w:left w:val="nil"/>
              <w:bottom w:val="nil"/>
              <w:right w:val="nil"/>
            </w:tcBorders>
            <w:shd w:val="clear" w:color="auto" w:fill="auto"/>
            <w:noWrap/>
          </w:tcPr>
          <w:p w14:paraId="0464C03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2.64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(-7.93 to 14.54)</w:t>
            </w:r>
          </w:p>
        </w:tc>
        <w:tc>
          <w:tcPr>
            <w:tcW w:w="1369" w:type="dxa"/>
            <w:tcBorders>
              <w:top w:val="nil"/>
              <w:left w:val="nil"/>
              <w:bottom w:val="nil"/>
              <w:right w:val="nil"/>
            </w:tcBorders>
            <w:shd w:val="clear" w:color="auto" w:fill="auto"/>
            <w:noWrap/>
          </w:tcPr>
          <w:p w14:paraId="282ED5A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450.24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(449.94 to 450.53)</w:t>
            </w:r>
          </w:p>
        </w:tc>
        <w:tc>
          <w:tcPr>
            <w:tcW w:w="1480" w:type="dxa"/>
            <w:tcBorders>
              <w:top w:val="nil"/>
              <w:left w:val="nil"/>
              <w:bottom w:val="nil"/>
              <w:right w:val="nil"/>
            </w:tcBorders>
            <w:shd w:val="clear" w:color="auto" w:fill="auto"/>
            <w:noWrap/>
          </w:tcPr>
          <w:p w14:paraId="27C708B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-1.82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(-1.88 to -1.75)</w:t>
            </w:r>
          </w:p>
        </w:tc>
        <w:tc>
          <w:tcPr>
            <w:tcW w:w="1480" w:type="dxa"/>
            <w:tcBorders>
              <w:top w:val="nil"/>
              <w:left w:val="nil"/>
              <w:bottom w:val="nil"/>
              <w:right w:val="nil"/>
            </w:tcBorders>
            <w:shd w:val="clear" w:color="auto" w:fill="auto"/>
            <w:noWrap/>
          </w:tcPr>
          <w:p w14:paraId="19A60BE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145.82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(115.91 to 174.88)</w:t>
            </w:r>
          </w:p>
        </w:tc>
        <w:tc>
          <w:tcPr>
            <w:tcW w:w="1480" w:type="dxa"/>
            <w:tcBorders>
              <w:top w:val="nil"/>
              <w:left w:val="nil"/>
              <w:bottom w:val="nil"/>
              <w:right w:val="nil"/>
            </w:tcBorders>
            <w:shd w:val="clear" w:color="auto" w:fill="auto"/>
            <w:noWrap/>
          </w:tcPr>
          <w:p w14:paraId="12246CD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-4.98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(-16.97 to 7.41)</w:t>
            </w:r>
          </w:p>
        </w:tc>
        <w:tc>
          <w:tcPr>
            <w:tcW w:w="1565" w:type="dxa"/>
            <w:tcBorders>
              <w:top w:val="nil"/>
              <w:left w:val="nil"/>
              <w:bottom w:val="nil"/>
              <w:right w:val="nil"/>
            </w:tcBorders>
            <w:shd w:val="clear" w:color="auto" w:fill="auto"/>
            <w:noWrap/>
          </w:tcPr>
          <w:p w14:paraId="1A6F997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7.16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(7.13 to 7.2)</w:t>
            </w:r>
          </w:p>
        </w:tc>
        <w:tc>
          <w:tcPr>
            <w:tcW w:w="1488" w:type="dxa"/>
            <w:tcBorders>
              <w:top w:val="nil"/>
              <w:left w:val="nil"/>
              <w:bottom w:val="nil"/>
              <w:right w:val="nil"/>
            </w:tcBorders>
            <w:shd w:val="clear" w:color="auto" w:fill="auto"/>
            <w:noWrap/>
          </w:tcPr>
          <w:p w14:paraId="465E662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-2.14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(-2.21 to -2.07)</w:t>
            </w:r>
          </w:p>
        </w:tc>
      </w:tr>
      <w:tr w14:paraId="5AE5218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249B18D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6D15A75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Particulate matter pollution</w:t>
            </w:r>
          </w:p>
        </w:tc>
        <w:tc>
          <w:tcPr>
            <w:tcW w:w="1480" w:type="dxa"/>
            <w:tcBorders>
              <w:top w:val="nil"/>
              <w:left w:val="nil"/>
              <w:bottom w:val="nil"/>
              <w:right w:val="nil"/>
            </w:tcBorders>
            <w:shd w:val="clear" w:color="auto" w:fill="auto"/>
            <w:noWrap/>
          </w:tcPr>
          <w:p w14:paraId="72C23C6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9,038.58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(7,348.56 to 10,778.83)</w:t>
            </w:r>
          </w:p>
        </w:tc>
        <w:tc>
          <w:tcPr>
            <w:tcW w:w="1591" w:type="dxa"/>
            <w:tcBorders>
              <w:top w:val="nil"/>
              <w:left w:val="nil"/>
              <w:bottom w:val="nil"/>
              <w:right w:val="nil"/>
            </w:tcBorders>
            <w:shd w:val="clear" w:color="auto" w:fill="auto"/>
            <w:noWrap/>
          </w:tcPr>
          <w:p w14:paraId="209510D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2.51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(-8.11 to 14.28)</w:t>
            </w:r>
          </w:p>
        </w:tc>
        <w:tc>
          <w:tcPr>
            <w:tcW w:w="1369" w:type="dxa"/>
            <w:tcBorders>
              <w:top w:val="nil"/>
              <w:left w:val="nil"/>
              <w:bottom w:val="nil"/>
              <w:right w:val="nil"/>
            </w:tcBorders>
            <w:shd w:val="clear" w:color="auto" w:fill="auto"/>
            <w:noWrap/>
          </w:tcPr>
          <w:p w14:paraId="11B4E47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446.18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(445.89 to 446.47)</w:t>
            </w:r>
          </w:p>
        </w:tc>
        <w:tc>
          <w:tcPr>
            <w:tcW w:w="1480" w:type="dxa"/>
            <w:tcBorders>
              <w:top w:val="nil"/>
              <w:left w:val="nil"/>
              <w:bottom w:val="nil"/>
              <w:right w:val="nil"/>
            </w:tcBorders>
            <w:shd w:val="clear" w:color="auto" w:fill="auto"/>
            <w:noWrap/>
          </w:tcPr>
          <w:p w14:paraId="63ACD46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-1.82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(-1.89 to -1.76)</w:t>
            </w:r>
          </w:p>
        </w:tc>
        <w:tc>
          <w:tcPr>
            <w:tcW w:w="1480" w:type="dxa"/>
            <w:tcBorders>
              <w:top w:val="nil"/>
              <w:left w:val="nil"/>
              <w:bottom w:val="nil"/>
              <w:right w:val="nil"/>
            </w:tcBorders>
            <w:shd w:val="clear" w:color="auto" w:fill="auto"/>
            <w:noWrap/>
          </w:tcPr>
          <w:p w14:paraId="785DA8A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144.42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(114.48 to 173.45)</w:t>
            </w:r>
          </w:p>
        </w:tc>
        <w:tc>
          <w:tcPr>
            <w:tcW w:w="1480" w:type="dxa"/>
            <w:tcBorders>
              <w:top w:val="nil"/>
              <w:left w:val="nil"/>
              <w:bottom w:val="nil"/>
              <w:right w:val="nil"/>
            </w:tcBorders>
            <w:shd w:val="clear" w:color="auto" w:fill="auto"/>
            <w:noWrap/>
          </w:tcPr>
          <w:p w14:paraId="3C1C90D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-5.34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(-17.17 to 6.79)</w:t>
            </w:r>
          </w:p>
        </w:tc>
        <w:tc>
          <w:tcPr>
            <w:tcW w:w="1565" w:type="dxa"/>
            <w:tcBorders>
              <w:top w:val="nil"/>
              <w:left w:val="nil"/>
              <w:bottom w:val="nil"/>
              <w:right w:val="nil"/>
            </w:tcBorders>
            <w:shd w:val="clear" w:color="auto" w:fill="auto"/>
            <w:noWrap/>
          </w:tcPr>
          <w:p w14:paraId="2EEE927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(7.06 to 7.13)</w:t>
            </w:r>
          </w:p>
        </w:tc>
        <w:tc>
          <w:tcPr>
            <w:tcW w:w="1488" w:type="dxa"/>
            <w:tcBorders>
              <w:top w:val="nil"/>
              <w:left w:val="nil"/>
              <w:bottom w:val="nil"/>
              <w:right w:val="nil"/>
            </w:tcBorders>
            <w:shd w:val="clear" w:color="auto" w:fill="auto"/>
            <w:noWrap/>
          </w:tcPr>
          <w:p w14:paraId="1175450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-2.15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(-2.22 to -2.08)</w:t>
            </w:r>
          </w:p>
        </w:tc>
      </w:tr>
      <w:tr w14:paraId="0FB46B3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23446D5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13249ED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Ambient particulate matter pollution</w:t>
            </w:r>
          </w:p>
        </w:tc>
        <w:tc>
          <w:tcPr>
            <w:tcW w:w="1480" w:type="dxa"/>
            <w:tcBorders>
              <w:top w:val="nil"/>
              <w:left w:val="nil"/>
              <w:bottom w:val="nil"/>
              <w:right w:val="nil"/>
            </w:tcBorders>
            <w:shd w:val="clear" w:color="auto" w:fill="auto"/>
            <w:noWrap/>
          </w:tcPr>
          <w:p w14:paraId="7EEF7DD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4,484.41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(3,082.94 to 5,810.73)</w:t>
            </w:r>
          </w:p>
        </w:tc>
        <w:tc>
          <w:tcPr>
            <w:tcW w:w="1591" w:type="dxa"/>
            <w:tcBorders>
              <w:top w:val="nil"/>
              <w:left w:val="nil"/>
              <w:bottom w:val="nil"/>
              <w:right w:val="nil"/>
            </w:tcBorders>
            <w:shd w:val="clear" w:color="auto" w:fill="auto"/>
            <w:noWrap/>
          </w:tcPr>
          <w:p w14:paraId="44BAAC9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99.65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(62.04 to 145.08)</w:t>
            </w:r>
          </w:p>
        </w:tc>
        <w:tc>
          <w:tcPr>
            <w:tcW w:w="1369" w:type="dxa"/>
            <w:tcBorders>
              <w:top w:val="nil"/>
              <w:left w:val="nil"/>
              <w:bottom w:val="nil"/>
              <w:right w:val="nil"/>
            </w:tcBorders>
            <w:shd w:val="clear" w:color="auto" w:fill="auto"/>
            <w:noWrap/>
          </w:tcPr>
          <w:p w14:paraId="487C0BD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220.71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(220.5 to 220.91)</w:t>
            </w:r>
          </w:p>
        </w:tc>
        <w:tc>
          <w:tcPr>
            <w:tcW w:w="1480" w:type="dxa"/>
            <w:tcBorders>
              <w:top w:val="nil"/>
              <w:left w:val="nil"/>
              <w:bottom w:val="nil"/>
              <w:right w:val="nil"/>
            </w:tcBorders>
            <w:shd w:val="clear" w:color="auto" w:fill="auto"/>
            <w:noWrap/>
          </w:tcPr>
          <w:p w14:paraId="59DE77D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0.58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(0.45 to 0.7)</w:t>
            </w:r>
          </w:p>
        </w:tc>
        <w:tc>
          <w:tcPr>
            <w:tcW w:w="1480" w:type="dxa"/>
            <w:tcBorders>
              <w:top w:val="nil"/>
              <w:left w:val="nil"/>
              <w:bottom w:val="nil"/>
              <w:right w:val="nil"/>
            </w:tcBorders>
            <w:shd w:val="clear" w:color="auto" w:fill="auto"/>
            <w:noWrap/>
          </w:tcPr>
          <w:p w14:paraId="46A94DC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70.51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(49.10 to 92.58)</w:t>
            </w:r>
          </w:p>
        </w:tc>
        <w:tc>
          <w:tcPr>
            <w:tcW w:w="1480" w:type="dxa"/>
            <w:tcBorders>
              <w:top w:val="nil"/>
              <w:left w:val="nil"/>
              <w:bottom w:val="nil"/>
              <w:right w:val="nil"/>
            </w:tcBorders>
            <w:shd w:val="clear" w:color="auto" w:fill="auto"/>
            <w:noWrap/>
          </w:tcPr>
          <w:p w14:paraId="681A764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81.65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(47.20 to 124.92)</w:t>
            </w:r>
          </w:p>
        </w:tc>
        <w:tc>
          <w:tcPr>
            <w:tcW w:w="1565" w:type="dxa"/>
            <w:tcBorders>
              <w:top w:val="nil"/>
              <w:left w:val="nil"/>
              <w:bottom w:val="nil"/>
              <w:right w:val="nil"/>
            </w:tcBorders>
            <w:shd w:val="clear" w:color="auto" w:fill="auto"/>
            <w:noWrap/>
          </w:tcPr>
          <w:p w14:paraId="5A37921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(3.43 to 3.48)</w:t>
            </w:r>
          </w:p>
        </w:tc>
        <w:tc>
          <w:tcPr>
            <w:tcW w:w="1488" w:type="dxa"/>
            <w:tcBorders>
              <w:top w:val="nil"/>
              <w:left w:val="nil"/>
              <w:bottom w:val="nil"/>
              <w:right w:val="nil"/>
            </w:tcBorders>
            <w:shd w:val="clear" w:color="auto" w:fill="auto"/>
            <w:noWrap/>
          </w:tcPr>
          <w:p w14:paraId="20EBC36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0.17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(0.04 to 0.31)</w:t>
            </w:r>
          </w:p>
        </w:tc>
      </w:tr>
      <w:tr w14:paraId="575CA85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1780D45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445E3D5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Household air pollution from solid fuels</w:t>
            </w:r>
          </w:p>
        </w:tc>
        <w:tc>
          <w:tcPr>
            <w:tcW w:w="1480" w:type="dxa"/>
            <w:tcBorders>
              <w:top w:val="nil"/>
              <w:left w:val="nil"/>
              <w:bottom w:val="nil"/>
              <w:right w:val="nil"/>
            </w:tcBorders>
            <w:shd w:val="clear" w:color="auto" w:fill="auto"/>
            <w:noWrap/>
          </w:tcPr>
          <w:p w14:paraId="6E64B7A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4,552.65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(2,927.34 to 6,733.02)</w:t>
            </w:r>
          </w:p>
        </w:tc>
        <w:tc>
          <w:tcPr>
            <w:tcW w:w="1591" w:type="dxa"/>
            <w:tcBorders>
              <w:top w:val="nil"/>
              <w:left w:val="nil"/>
              <w:bottom w:val="nil"/>
              <w:right w:val="nil"/>
            </w:tcBorders>
            <w:shd w:val="clear" w:color="auto" w:fill="auto"/>
            <w:noWrap/>
          </w:tcPr>
          <w:p w14:paraId="28E67B9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-30.70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(-47.39 to -12.01)</w:t>
            </w:r>
          </w:p>
        </w:tc>
        <w:tc>
          <w:tcPr>
            <w:tcW w:w="1369" w:type="dxa"/>
            <w:tcBorders>
              <w:top w:val="nil"/>
              <w:left w:val="nil"/>
              <w:bottom w:val="nil"/>
              <w:right w:val="nil"/>
            </w:tcBorders>
            <w:shd w:val="clear" w:color="auto" w:fill="auto"/>
            <w:noWrap/>
          </w:tcPr>
          <w:p w14:paraId="2D1FA4A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225.4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(225.19 to 225.61)</w:t>
            </w:r>
          </w:p>
        </w:tc>
        <w:tc>
          <w:tcPr>
            <w:tcW w:w="1480" w:type="dxa"/>
            <w:tcBorders>
              <w:top w:val="nil"/>
              <w:left w:val="nil"/>
              <w:bottom w:val="nil"/>
              <w:right w:val="nil"/>
            </w:tcBorders>
            <w:shd w:val="clear" w:color="auto" w:fill="auto"/>
            <w:noWrap/>
          </w:tcPr>
          <w:p w14:paraId="31FB490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-3.23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(-3.4 to -3.07)</w:t>
            </w:r>
          </w:p>
        </w:tc>
        <w:tc>
          <w:tcPr>
            <w:tcW w:w="1480" w:type="dxa"/>
            <w:tcBorders>
              <w:top w:val="nil"/>
              <w:left w:val="nil"/>
              <w:bottom w:val="nil"/>
              <w:right w:val="nil"/>
            </w:tcBorders>
            <w:shd w:val="clear" w:color="auto" w:fill="auto"/>
            <w:noWrap/>
          </w:tcPr>
          <w:p w14:paraId="102D15D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73.89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(46.98 to 110.26)</w:t>
            </w:r>
          </w:p>
        </w:tc>
        <w:tc>
          <w:tcPr>
            <w:tcW w:w="1480" w:type="dxa"/>
            <w:tcBorders>
              <w:top w:val="nil"/>
              <w:left w:val="nil"/>
              <w:bottom w:val="nil"/>
              <w:right w:val="nil"/>
            </w:tcBorders>
            <w:shd w:val="clear" w:color="auto" w:fill="auto"/>
            <w:noWrap/>
          </w:tcPr>
          <w:p w14:paraId="2CAAB3F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-35.04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(-51.33 to -16.12)</w:t>
            </w:r>
          </w:p>
        </w:tc>
        <w:tc>
          <w:tcPr>
            <w:tcW w:w="1565" w:type="dxa"/>
            <w:tcBorders>
              <w:top w:val="nil"/>
              <w:left w:val="nil"/>
              <w:bottom w:val="nil"/>
              <w:right w:val="nil"/>
            </w:tcBorders>
            <w:shd w:val="clear" w:color="auto" w:fill="auto"/>
            <w:noWrap/>
          </w:tcPr>
          <w:p w14:paraId="2BC6D7A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3.64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(3.61 to 3.67)</w:t>
            </w:r>
          </w:p>
        </w:tc>
        <w:tc>
          <w:tcPr>
            <w:tcW w:w="1488" w:type="dxa"/>
            <w:tcBorders>
              <w:top w:val="nil"/>
              <w:left w:val="nil"/>
              <w:bottom w:val="nil"/>
              <w:right w:val="nil"/>
            </w:tcBorders>
            <w:shd w:val="clear" w:color="auto" w:fill="auto"/>
            <w:noWrap/>
          </w:tcPr>
          <w:p w14:paraId="064D1CF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(-3.66 to -3.34)</w:t>
            </w:r>
          </w:p>
        </w:tc>
      </w:tr>
      <w:tr w14:paraId="560EFD5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18B1DF9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7ADAF46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Ambient ozone pollution</w:t>
            </w:r>
          </w:p>
        </w:tc>
        <w:tc>
          <w:tcPr>
            <w:tcW w:w="1480" w:type="dxa"/>
            <w:tcBorders>
              <w:top w:val="nil"/>
              <w:left w:val="nil"/>
              <w:bottom w:val="nil"/>
              <w:right w:val="nil"/>
            </w:tcBorders>
            <w:shd w:val="clear" w:color="auto" w:fill="auto"/>
            <w:noWrap/>
          </w:tcPr>
          <w:p w14:paraId="3CDFD44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151.35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(33.09 to 268.66)</w:t>
            </w:r>
          </w:p>
        </w:tc>
        <w:tc>
          <w:tcPr>
            <w:tcW w:w="1591" w:type="dxa"/>
            <w:tcBorders>
              <w:top w:val="nil"/>
              <w:left w:val="nil"/>
              <w:bottom w:val="nil"/>
              <w:right w:val="nil"/>
            </w:tcBorders>
            <w:shd w:val="clear" w:color="auto" w:fill="auto"/>
            <w:noWrap/>
          </w:tcPr>
          <w:p w14:paraId="71DEE01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19.74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(-6.68 to 83.99)</w:t>
            </w:r>
          </w:p>
        </w:tc>
        <w:tc>
          <w:tcPr>
            <w:tcW w:w="1369" w:type="dxa"/>
            <w:tcBorders>
              <w:top w:val="nil"/>
              <w:left w:val="nil"/>
              <w:bottom w:val="nil"/>
              <w:right w:val="nil"/>
            </w:tcBorders>
            <w:shd w:val="clear" w:color="auto" w:fill="auto"/>
            <w:noWrap/>
          </w:tcPr>
          <w:p w14:paraId="0E478C5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(7.36 to 7.44)</w:t>
            </w:r>
          </w:p>
        </w:tc>
        <w:tc>
          <w:tcPr>
            <w:tcW w:w="1480" w:type="dxa"/>
            <w:tcBorders>
              <w:top w:val="nil"/>
              <w:left w:val="nil"/>
              <w:bottom w:val="nil"/>
              <w:right w:val="nil"/>
            </w:tcBorders>
            <w:shd w:val="clear" w:color="auto" w:fill="auto"/>
            <w:noWrap/>
          </w:tcPr>
          <w:p w14:paraId="69E022F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 to -1.58)</w:t>
            </w:r>
          </w:p>
        </w:tc>
        <w:tc>
          <w:tcPr>
            <w:tcW w:w="1480" w:type="dxa"/>
            <w:tcBorders>
              <w:top w:val="nil"/>
              <w:left w:val="nil"/>
              <w:bottom w:val="nil"/>
              <w:right w:val="nil"/>
            </w:tcBorders>
            <w:shd w:val="clear" w:color="auto" w:fill="auto"/>
            <w:noWrap/>
          </w:tcPr>
          <w:p w14:paraId="56A99E5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3.17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(0.69 to 5.63)</w:t>
            </w:r>
          </w:p>
        </w:tc>
        <w:tc>
          <w:tcPr>
            <w:tcW w:w="1480" w:type="dxa"/>
            <w:tcBorders>
              <w:top w:val="nil"/>
              <w:left w:val="nil"/>
              <w:bottom w:val="nil"/>
              <w:right w:val="nil"/>
            </w:tcBorders>
            <w:shd w:val="clear" w:color="auto" w:fill="auto"/>
            <w:noWrap/>
          </w:tcPr>
          <w:p w14:paraId="442C562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21.54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(-5.05 to 86.33)</w:t>
            </w:r>
          </w:p>
        </w:tc>
        <w:tc>
          <w:tcPr>
            <w:tcW w:w="1565" w:type="dxa"/>
            <w:tcBorders>
              <w:top w:val="nil"/>
              <w:left w:val="nil"/>
              <w:bottom w:val="nil"/>
              <w:right w:val="nil"/>
            </w:tcBorders>
            <w:shd w:val="clear" w:color="auto" w:fill="auto"/>
            <w:noWrap/>
          </w:tcPr>
          <w:p w14:paraId="73F3161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0.15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(0.15 to 0.16)</w:t>
            </w:r>
          </w:p>
        </w:tc>
        <w:tc>
          <w:tcPr>
            <w:tcW w:w="1488" w:type="dxa"/>
            <w:tcBorders>
              <w:top w:val="nil"/>
              <w:left w:val="nil"/>
              <w:bottom w:val="nil"/>
              <w:right w:val="nil"/>
            </w:tcBorders>
            <w:shd w:val="clear" w:color="auto" w:fill="auto"/>
            <w:noWrap/>
          </w:tcPr>
          <w:p w14:paraId="4FA3B2C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-1.83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(-2.04 to -1.62)</w:t>
            </w:r>
          </w:p>
        </w:tc>
      </w:tr>
      <w:tr w14:paraId="4D6EE57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181B075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5FF6838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Nitrogen dioxide pollution</w:t>
            </w:r>
          </w:p>
        </w:tc>
        <w:tc>
          <w:tcPr>
            <w:tcW w:w="1480" w:type="dxa"/>
            <w:tcBorders>
              <w:top w:val="nil"/>
              <w:left w:val="nil"/>
              <w:bottom w:val="nil"/>
              <w:right w:val="nil"/>
            </w:tcBorders>
            <w:shd w:val="clear" w:color="auto" w:fill="auto"/>
            <w:noWrap/>
          </w:tcPr>
          <w:p w14:paraId="0F20BED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14.51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(-12.99 to 62.55)</w:t>
            </w:r>
          </w:p>
        </w:tc>
        <w:tc>
          <w:tcPr>
            <w:tcW w:w="1591" w:type="dxa"/>
            <w:tcBorders>
              <w:top w:val="nil"/>
              <w:left w:val="nil"/>
              <w:bottom w:val="nil"/>
              <w:right w:val="nil"/>
            </w:tcBorders>
            <w:shd w:val="clear" w:color="auto" w:fill="auto"/>
            <w:noWrap/>
          </w:tcPr>
          <w:p w14:paraId="76460E0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-42.11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(-72.95 to -27.14)</w:t>
            </w:r>
          </w:p>
        </w:tc>
        <w:tc>
          <w:tcPr>
            <w:tcW w:w="1369" w:type="dxa"/>
            <w:tcBorders>
              <w:top w:val="nil"/>
              <w:left w:val="nil"/>
              <w:bottom w:val="nil"/>
              <w:right w:val="nil"/>
            </w:tcBorders>
            <w:shd w:val="clear" w:color="auto" w:fill="auto"/>
            <w:noWrap/>
          </w:tcPr>
          <w:p w14:paraId="789601A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(0.79 to 0.81)</w:t>
            </w:r>
          </w:p>
        </w:tc>
        <w:tc>
          <w:tcPr>
            <w:tcW w:w="1480" w:type="dxa"/>
            <w:tcBorders>
              <w:top w:val="nil"/>
              <w:left w:val="nil"/>
              <w:bottom w:val="nil"/>
              <w:right w:val="nil"/>
            </w:tcBorders>
            <w:shd w:val="clear" w:color="auto" w:fill="auto"/>
            <w:noWrap/>
          </w:tcPr>
          <w:p w14:paraId="2DCA6A7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-2.23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(-2.36 to -2.1)</w:t>
            </w:r>
          </w:p>
        </w:tc>
        <w:tc>
          <w:tcPr>
            <w:tcW w:w="1480" w:type="dxa"/>
            <w:tcBorders>
              <w:top w:val="nil"/>
              <w:left w:val="nil"/>
              <w:bottom w:val="nil"/>
              <w:right w:val="nil"/>
            </w:tcBorders>
            <w:shd w:val="clear" w:color="auto" w:fill="auto"/>
            <w:noWrap/>
          </w:tcPr>
          <w:p w14:paraId="49632861">
            <w:pPr>
              <w:jc w:val="center"/>
              <w:rPr>
                <w:rFonts w:ascii="Times New Roman" w:hAnsi="Times New Roman" w:cs="Times New Roman"/>
                <w:color w:val="000000"/>
                <w:sz w:val="20"/>
                <w:szCs w:val="20"/>
              </w:rPr>
            </w:pPr>
          </w:p>
        </w:tc>
        <w:tc>
          <w:tcPr>
            <w:tcW w:w="1480" w:type="dxa"/>
            <w:tcBorders>
              <w:top w:val="nil"/>
              <w:left w:val="nil"/>
              <w:bottom w:val="nil"/>
              <w:right w:val="nil"/>
            </w:tcBorders>
            <w:shd w:val="clear" w:color="auto" w:fill="auto"/>
            <w:noWrap/>
          </w:tcPr>
          <w:p w14:paraId="7C10E036">
            <w:pPr>
              <w:jc w:val="center"/>
              <w:rPr>
                <w:rFonts w:ascii="Times New Roman" w:hAnsi="Times New Roman" w:cs="Times New Roman"/>
                <w:color w:val="000000"/>
                <w:sz w:val="20"/>
                <w:szCs w:val="20"/>
              </w:rPr>
            </w:pPr>
          </w:p>
        </w:tc>
        <w:tc>
          <w:tcPr>
            <w:tcW w:w="1565" w:type="dxa"/>
            <w:tcBorders>
              <w:top w:val="nil"/>
              <w:left w:val="nil"/>
              <w:bottom w:val="nil"/>
              <w:right w:val="nil"/>
            </w:tcBorders>
            <w:shd w:val="clear" w:color="auto" w:fill="auto"/>
            <w:noWrap/>
          </w:tcPr>
          <w:p w14:paraId="2E7662B1">
            <w:pPr>
              <w:jc w:val="center"/>
              <w:rPr>
                <w:rFonts w:ascii="Times New Roman" w:hAnsi="Times New Roman" w:cs="Times New Roman"/>
                <w:color w:val="000000"/>
                <w:sz w:val="20"/>
                <w:szCs w:val="20"/>
              </w:rPr>
            </w:pPr>
          </w:p>
        </w:tc>
        <w:tc>
          <w:tcPr>
            <w:tcW w:w="1488" w:type="dxa"/>
            <w:tcBorders>
              <w:top w:val="nil"/>
              <w:left w:val="nil"/>
              <w:bottom w:val="nil"/>
              <w:right w:val="nil"/>
            </w:tcBorders>
            <w:shd w:val="clear" w:color="auto" w:fill="auto"/>
            <w:noWrap/>
          </w:tcPr>
          <w:p w14:paraId="0EB4E982">
            <w:pPr>
              <w:jc w:val="center"/>
              <w:rPr>
                <w:rFonts w:ascii="Times New Roman" w:hAnsi="Times New Roman" w:cs="Times New Roman"/>
                <w:color w:val="000000"/>
                <w:sz w:val="20"/>
                <w:szCs w:val="20"/>
              </w:rPr>
            </w:pPr>
          </w:p>
        </w:tc>
      </w:tr>
      <w:tr w14:paraId="7B247FF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265B36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02A0B14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Non-optimal temperature</w:t>
            </w:r>
          </w:p>
        </w:tc>
        <w:tc>
          <w:tcPr>
            <w:tcW w:w="1480" w:type="dxa"/>
            <w:tcBorders>
              <w:top w:val="nil"/>
              <w:left w:val="nil"/>
              <w:bottom w:val="nil"/>
              <w:right w:val="nil"/>
            </w:tcBorders>
            <w:shd w:val="clear" w:color="auto" w:fill="auto"/>
            <w:noWrap/>
          </w:tcPr>
          <w:p w14:paraId="69BE3E2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1,562.08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(1,129.09 to 2,039.19)</w:t>
            </w:r>
          </w:p>
        </w:tc>
        <w:tc>
          <w:tcPr>
            <w:tcW w:w="1591" w:type="dxa"/>
            <w:tcBorders>
              <w:top w:val="nil"/>
              <w:left w:val="nil"/>
              <w:bottom w:val="nil"/>
              <w:right w:val="nil"/>
            </w:tcBorders>
            <w:shd w:val="clear" w:color="auto" w:fill="auto"/>
            <w:noWrap/>
          </w:tcPr>
          <w:p w14:paraId="4263F31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57.35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(33.40 to 83.51)</w:t>
            </w:r>
          </w:p>
        </w:tc>
        <w:tc>
          <w:tcPr>
            <w:tcW w:w="1369" w:type="dxa"/>
            <w:tcBorders>
              <w:top w:val="nil"/>
              <w:left w:val="nil"/>
              <w:bottom w:val="nil"/>
              <w:right w:val="nil"/>
            </w:tcBorders>
            <w:shd w:val="clear" w:color="auto" w:fill="auto"/>
            <w:noWrap/>
          </w:tcPr>
          <w:p w14:paraId="0F722A7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77.58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(77.46 to 77.7)</w:t>
            </w:r>
          </w:p>
        </w:tc>
        <w:tc>
          <w:tcPr>
            <w:tcW w:w="1480" w:type="dxa"/>
            <w:tcBorders>
              <w:top w:val="nil"/>
              <w:left w:val="nil"/>
              <w:bottom w:val="nil"/>
              <w:right w:val="nil"/>
            </w:tcBorders>
            <w:shd w:val="clear" w:color="auto" w:fill="auto"/>
            <w:noWrap/>
          </w:tcPr>
          <w:p w14:paraId="29D451B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(-0.73 to 0.17)</w:t>
            </w:r>
          </w:p>
        </w:tc>
        <w:tc>
          <w:tcPr>
            <w:tcW w:w="1480" w:type="dxa"/>
            <w:tcBorders>
              <w:top w:val="nil"/>
              <w:left w:val="nil"/>
              <w:bottom w:val="nil"/>
              <w:right w:val="nil"/>
            </w:tcBorders>
            <w:shd w:val="clear" w:color="auto" w:fill="auto"/>
            <w:noWrap/>
          </w:tcPr>
          <w:p w14:paraId="51502A6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31.17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(23.41 to 39.83)</w:t>
            </w:r>
          </w:p>
        </w:tc>
        <w:tc>
          <w:tcPr>
            <w:tcW w:w="1480" w:type="dxa"/>
            <w:tcBorders>
              <w:top w:val="nil"/>
              <w:left w:val="nil"/>
              <w:bottom w:val="nil"/>
              <w:right w:val="nil"/>
            </w:tcBorders>
            <w:shd w:val="clear" w:color="auto" w:fill="auto"/>
            <w:noWrap/>
          </w:tcPr>
          <w:p w14:paraId="0B76B4F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52.93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(31.33 to 75.66)</w:t>
            </w:r>
          </w:p>
        </w:tc>
        <w:tc>
          <w:tcPr>
            <w:tcW w:w="1565" w:type="dxa"/>
            <w:tcBorders>
              <w:top w:val="nil"/>
              <w:left w:val="nil"/>
              <w:bottom w:val="nil"/>
              <w:right w:val="nil"/>
            </w:tcBorders>
            <w:shd w:val="clear" w:color="auto" w:fill="auto"/>
            <w:noWrap/>
          </w:tcPr>
          <w:p w14:paraId="6409268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(1.52 to 1.56)</w:t>
            </w:r>
          </w:p>
        </w:tc>
        <w:tc>
          <w:tcPr>
            <w:tcW w:w="1488" w:type="dxa"/>
            <w:tcBorders>
              <w:top w:val="nil"/>
              <w:left w:val="nil"/>
              <w:bottom w:val="nil"/>
              <w:right w:val="nil"/>
            </w:tcBorders>
            <w:shd w:val="clear" w:color="auto" w:fill="auto"/>
            <w:noWrap/>
          </w:tcPr>
          <w:p w14:paraId="4E179E6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-0.48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(-0.84 to -0.11)</w:t>
            </w:r>
          </w:p>
        </w:tc>
      </w:tr>
      <w:tr w14:paraId="1F748B2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424E7A4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57B4E0C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High temperature</w:t>
            </w:r>
          </w:p>
        </w:tc>
        <w:tc>
          <w:tcPr>
            <w:tcW w:w="1480" w:type="dxa"/>
            <w:tcBorders>
              <w:top w:val="nil"/>
              <w:left w:val="nil"/>
              <w:bottom w:val="nil"/>
              <w:right w:val="nil"/>
            </w:tcBorders>
            <w:shd w:val="clear" w:color="auto" w:fill="auto"/>
            <w:noWrap/>
          </w:tcPr>
          <w:p w14:paraId="511F67D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1,127.67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(772.60 to 1,478.15)</w:t>
            </w:r>
          </w:p>
        </w:tc>
        <w:tc>
          <w:tcPr>
            <w:tcW w:w="1591" w:type="dxa"/>
            <w:tcBorders>
              <w:top w:val="nil"/>
              <w:left w:val="nil"/>
              <w:bottom w:val="nil"/>
              <w:right w:val="nil"/>
            </w:tcBorders>
            <w:shd w:val="clear" w:color="auto" w:fill="auto"/>
            <w:noWrap/>
          </w:tcPr>
          <w:p w14:paraId="3CDE81A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40.23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(20.33 to 59.71)</w:t>
            </w:r>
          </w:p>
        </w:tc>
        <w:tc>
          <w:tcPr>
            <w:tcW w:w="1369" w:type="dxa"/>
            <w:tcBorders>
              <w:top w:val="nil"/>
              <w:left w:val="nil"/>
              <w:bottom w:val="nil"/>
              <w:right w:val="nil"/>
            </w:tcBorders>
            <w:shd w:val="clear" w:color="auto" w:fill="auto"/>
            <w:noWrap/>
          </w:tcPr>
          <w:p w14:paraId="3F20135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57.42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(57.32 to 57.53)</w:t>
            </w:r>
          </w:p>
        </w:tc>
        <w:tc>
          <w:tcPr>
            <w:tcW w:w="1480" w:type="dxa"/>
            <w:tcBorders>
              <w:top w:val="nil"/>
              <w:left w:val="nil"/>
              <w:bottom w:val="nil"/>
              <w:right w:val="nil"/>
            </w:tcBorders>
            <w:shd w:val="clear" w:color="auto" w:fill="auto"/>
            <w:noWrap/>
          </w:tcPr>
          <w:p w14:paraId="4C92FB9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-0.13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(-0.73 to 0.48)</w:t>
            </w:r>
          </w:p>
        </w:tc>
        <w:tc>
          <w:tcPr>
            <w:tcW w:w="1480" w:type="dxa"/>
            <w:tcBorders>
              <w:top w:val="nil"/>
              <w:left w:val="nil"/>
              <w:bottom w:val="nil"/>
              <w:right w:val="nil"/>
            </w:tcBorders>
            <w:shd w:val="clear" w:color="auto" w:fill="auto"/>
            <w:noWrap/>
          </w:tcPr>
          <w:p w14:paraId="3DCAF44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20.55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(14.18 to 26.73)</w:t>
            </w:r>
          </w:p>
        </w:tc>
        <w:tc>
          <w:tcPr>
            <w:tcW w:w="1480" w:type="dxa"/>
            <w:tcBorders>
              <w:top w:val="nil"/>
              <w:left w:val="nil"/>
              <w:bottom w:val="nil"/>
              <w:right w:val="nil"/>
            </w:tcBorders>
            <w:shd w:val="clear" w:color="auto" w:fill="auto"/>
            <w:noWrap/>
          </w:tcPr>
          <w:p w14:paraId="2E0902A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48.69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(28.28 to 69.56)</w:t>
            </w:r>
          </w:p>
        </w:tc>
        <w:tc>
          <w:tcPr>
            <w:tcW w:w="1565" w:type="dxa"/>
            <w:tcBorders>
              <w:top w:val="nil"/>
              <w:left w:val="nil"/>
              <w:bottom w:val="nil"/>
              <w:right w:val="nil"/>
            </w:tcBorders>
            <w:shd w:val="clear" w:color="auto" w:fill="auto"/>
            <w:noWrap/>
          </w:tcPr>
          <w:p w14:paraId="2AB7C4D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(1.02 to 1.05)</w:t>
            </w:r>
          </w:p>
        </w:tc>
        <w:tc>
          <w:tcPr>
            <w:tcW w:w="1488" w:type="dxa"/>
            <w:tcBorders>
              <w:top w:val="nil"/>
              <w:left w:val="nil"/>
              <w:bottom w:val="nil"/>
              <w:right w:val="nil"/>
            </w:tcBorders>
            <w:shd w:val="clear" w:color="auto" w:fill="auto"/>
            <w:noWrap/>
          </w:tcPr>
          <w:p w14:paraId="670755D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(-0.59 to 0.52)</w:t>
            </w:r>
          </w:p>
        </w:tc>
      </w:tr>
      <w:tr w14:paraId="5B13E61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550BD2B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419F145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Low temperature</w:t>
            </w:r>
          </w:p>
        </w:tc>
        <w:tc>
          <w:tcPr>
            <w:tcW w:w="1480" w:type="dxa"/>
            <w:tcBorders>
              <w:top w:val="nil"/>
              <w:left w:val="nil"/>
              <w:bottom w:val="nil"/>
              <w:right w:val="nil"/>
            </w:tcBorders>
            <w:shd w:val="clear" w:color="auto" w:fill="auto"/>
            <w:noWrap/>
          </w:tcPr>
          <w:p w14:paraId="0EDB218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445.30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(276.40 to 625.32)</w:t>
            </w:r>
          </w:p>
        </w:tc>
        <w:tc>
          <w:tcPr>
            <w:tcW w:w="1591" w:type="dxa"/>
            <w:tcBorders>
              <w:top w:val="nil"/>
              <w:left w:val="nil"/>
              <w:bottom w:val="nil"/>
              <w:right w:val="nil"/>
            </w:tcBorders>
            <w:shd w:val="clear" w:color="auto" w:fill="auto"/>
            <w:noWrap/>
          </w:tcPr>
          <w:p w14:paraId="07A0D63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143.87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(14.99 to 1,380.68)</w:t>
            </w:r>
          </w:p>
        </w:tc>
        <w:tc>
          <w:tcPr>
            <w:tcW w:w="1369" w:type="dxa"/>
            <w:tcBorders>
              <w:top w:val="nil"/>
              <w:left w:val="nil"/>
              <w:bottom w:val="nil"/>
              <w:right w:val="nil"/>
            </w:tcBorders>
            <w:shd w:val="clear" w:color="auto" w:fill="auto"/>
            <w:noWrap/>
          </w:tcPr>
          <w:p w14:paraId="40469DA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20.67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(20.61 to 20.73)</w:t>
            </w:r>
          </w:p>
        </w:tc>
        <w:tc>
          <w:tcPr>
            <w:tcW w:w="1480" w:type="dxa"/>
            <w:tcBorders>
              <w:top w:val="nil"/>
              <w:left w:val="nil"/>
              <w:bottom w:val="nil"/>
              <w:right w:val="nil"/>
            </w:tcBorders>
            <w:shd w:val="clear" w:color="auto" w:fill="auto"/>
            <w:noWrap/>
          </w:tcPr>
          <w:p w14:paraId="7019CBF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-0.56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(-1.15 to 0.04)</w:t>
            </w:r>
          </w:p>
        </w:tc>
        <w:tc>
          <w:tcPr>
            <w:tcW w:w="1480" w:type="dxa"/>
            <w:tcBorders>
              <w:top w:val="nil"/>
              <w:left w:val="nil"/>
              <w:bottom w:val="nil"/>
              <w:right w:val="nil"/>
            </w:tcBorders>
            <w:shd w:val="clear" w:color="auto" w:fill="auto"/>
            <w:noWrap/>
          </w:tcPr>
          <w:p w14:paraId="28B23EC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10.88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(7.69 to 14.28)</w:t>
            </w:r>
          </w:p>
        </w:tc>
        <w:tc>
          <w:tcPr>
            <w:tcW w:w="1480" w:type="dxa"/>
            <w:tcBorders>
              <w:top w:val="nil"/>
              <w:left w:val="nil"/>
              <w:bottom w:val="nil"/>
              <w:right w:val="nil"/>
            </w:tcBorders>
            <w:shd w:val="clear" w:color="auto" w:fill="auto"/>
            <w:noWrap/>
          </w:tcPr>
          <w:p w14:paraId="591E80B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67.34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(20.69 to 171.00)</w:t>
            </w:r>
          </w:p>
        </w:tc>
        <w:tc>
          <w:tcPr>
            <w:tcW w:w="1565" w:type="dxa"/>
            <w:tcBorders>
              <w:top w:val="nil"/>
              <w:left w:val="nil"/>
              <w:bottom w:val="nil"/>
              <w:right w:val="nil"/>
            </w:tcBorders>
            <w:shd w:val="clear" w:color="auto" w:fill="auto"/>
            <w:noWrap/>
          </w:tcPr>
          <w:p w14:paraId="023C464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0.51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(0.5 to 0.52)</w:t>
            </w:r>
          </w:p>
        </w:tc>
        <w:tc>
          <w:tcPr>
            <w:tcW w:w="1488" w:type="dxa"/>
            <w:tcBorders>
              <w:top w:val="nil"/>
              <w:left w:val="nil"/>
              <w:bottom w:val="nil"/>
              <w:right w:val="nil"/>
            </w:tcBorders>
            <w:shd w:val="clear" w:color="auto" w:fill="auto"/>
            <w:noWrap/>
          </w:tcPr>
          <w:p w14:paraId="5D60867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(-1.53 to -0.84)</w:t>
            </w:r>
          </w:p>
        </w:tc>
      </w:tr>
      <w:tr w14:paraId="5AE2D04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256FD7A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4EB1EC5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Other environmental risks</w:t>
            </w:r>
          </w:p>
        </w:tc>
        <w:tc>
          <w:tcPr>
            <w:tcW w:w="1480" w:type="dxa"/>
            <w:tcBorders>
              <w:top w:val="nil"/>
              <w:left w:val="nil"/>
              <w:bottom w:val="nil"/>
              <w:right w:val="nil"/>
            </w:tcBorders>
            <w:shd w:val="clear" w:color="auto" w:fill="auto"/>
            <w:noWrap/>
          </w:tcPr>
          <w:p w14:paraId="1AC41C3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1,692.90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(464.18 to 2,881.27)</w:t>
            </w:r>
          </w:p>
        </w:tc>
        <w:tc>
          <w:tcPr>
            <w:tcW w:w="1591" w:type="dxa"/>
            <w:tcBorders>
              <w:top w:val="nil"/>
              <w:left w:val="nil"/>
              <w:bottom w:val="nil"/>
              <w:right w:val="nil"/>
            </w:tcBorders>
            <w:shd w:val="clear" w:color="auto" w:fill="auto"/>
            <w:noWrap/>
          </w:tcPr>
          <w:p w14:paraId="707C6C8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3.71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(-8.86 to 38.66)</w:t>
            </w:r>
          </w:p>
        </w:tc>
        <w:tc>
          <w:tcPr>
            <w:tcW w:w="1369" w:type="dxa"/>
            <w:tcBorders>
              <w:top w:val="nil"/>
              <w:left w:val="nil"/>
              <w:bottom w:val="nil"/>
              <w:right w:val="nil"/>
            </w:tcBorders>
            <w:shd w:val="clear" w:color="auto" w:fill="auto"/>
            <w:noWrap/>
          </w:tcPr>
          <w:p w14:paraId="705CA0D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84.57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(84.45 to 84.7)</w:t>
            </w:r>
          </w:p>
        </w:tc>
        <w:tc>
          <w:tcPr>
            <w:tcW w:w="1480" w:type="dxa"/>
            <w:tcBorders>
              <w:top w:val="nil"/>
              <w:left w:val="nil"/>
              <w:bottom w:val="nil"/>
              <w:right w:val="nil"/>
            </w:tcBorders>
            <w:shd w:val="clear" w:color="auto" w:fill="auto"/>
            <w:noWrap/>
          </w:tcPr>
          <w:p w14:paraId="2C92D5E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(-1.67 to -1.5)</w:t>
            </w:r>
          </w:p>
        </w:tc>
        <w:tc>
          <w:tcPr>
            <w:tcW w:w="1480" w:type="dxa"/>
            <w:tcBorders>
              <w:top w:val="nil"/>
              <w:left w:val="nil"/>
              <w:bottom w:val="nil"/>
              <w:right w:val="nil"/>
            </w:tcBorders>
            <w:shd w:val="clear" w:color="auto" w:fill="auto"/>
            <w:noWrap/>
          </w:tcPr>
          <w:p w14:paraId="1826017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19.88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(-0.02 to 41.03)</w:t>
            </w:r>
          </w:p>
        </w:tc>
        <w:tc>
          <w:tcPr>
            <w:tcW w:w="1480" w:type="dxa"/>
            <w:tcBorders>
              <w:top w:val="nil"/>
              <w:left w:val="nil"/>
              <w:bottom w:val="nil"/>
              <w:right w:val="nil"/>
            </w:tcBorders>
            <w:shd w:val="clear" w:color="auto" w:fill="auto"/>
            <w:noWrap/>
          </w:tcPr>
          <w:p w14:paraId="05135C0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-8.47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(-25.58 to 9.66)</w:t>
            </w:r>
          </w:p>
        </w:tc>
        <w:tc>
          <w:tcPr>
            <w:tcW w:w="1565" w:type="dxa"/>
            <w:tcBorders>
              <w:top w:val="nil"/>
              <w:left w:val="nil"/>
              <w:bottom w:val="nil"/>
              <w:right w:val="nil"/>
            </w:tcBorders>
            <w:shd w:val="clear" w:color="auto" w:fill="auto"/>
            <w:noWrap/>
          </w:tcPr>
          <w:p w14:paraId="52BDF63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0.97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(0.95 to 0.98)</w:t>
            </w:r>
          </w:p>
        </w:tc>
        <w:tc>
          <w:tcPr>
            <w:tcW w:w="1488" w:type="dxa"/>
            <w:tcBorders>
              <w:top w:val="nil"/>
              <w:left w:val="nil"/>
              <w:bottom w:val="nil"/>
              <w:right w:val="nil"/>
            </w:tcBorders>
            <w:shd w:val="clear" w:color="auto" w:fill="auto"/>
            <w:noWrap/>
          </w:tcPr>
          <w:p w14:paraId="5C9BAA5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-2.27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(-2.38 to -2.16)</w:t>
            </w:r>
          </w:p>
        </w:tc>
      </w:tr>
      <w:tr w14:paraId="0323E15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4A5E0E1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155036D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Residential radon</w:t>
            </w:r>
          </w:p>
        </w:tc>
        <w:tc>
          <w:tcPr>
            <w:tcW w:w="1480" w:type="dxa"/>
            <w:tcBorders>
              <w:top w:val="nil"/>
              <w:left w:val="nil"/>
              <w:bottom w:val="nil"/>
              <w:right w:val="nil"/>
            </w:tcBorders>
            <w:shd w:val="clear" w:color="auto" w:fill="auto"/>
            <w:noWrap/>
          </w:tcPr>
          <w:p w14:paraId="4154BAC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65.45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(-32.12 to 164.00)</w:t>
            </w:r>
          </w:p>
        </w:tc>
        <w:tc>
          <w:tcPr>
            <w:tcW w:w="1591" w:type="dxa"/>
            <w:tcBorders>
              <w:top w:val="nil"/>
              <w:left w:val="nil"/>
              <w:bottom w:val="nil"/>
              <w:right w:val="nil"/>
            </w:tcBorders>
            <w:shd w:val="clear" w:color="auto" w:fill="auto"/>
            <w:noWrap/>
          </w:tcPr>
          <w:p w14:paraId="6A8F75D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24.32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(2.60 to 48.07)</w:t>
            </w:r>
          </w:p>
        </w:tc>
        <w:tc>
          <w:tcPr>
            <w:tcW w:w="1369" w:type="dxa"/>
            <w:tcBorders>
              <w:top w:val="nil"/>
              <w:left w:val="nil"/>
              <w:bottom w:val="nil"/>
              <w:right w:val="nil"/>
            </w:tcBorders>
            <w:shd w:val="clear" w:color="auto" w:fill="auto"/>
            <w:noWrap/>
          </w:tcPr>
          <w:p w14:paraId="1CA8560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(3.18 to 3.23)</w:t>
            </w:r>
          </w:p>
        </w:tc>
        <w:tc>
          <w:tcPr>
            <w:tcW w:w="1480" w:type="dxa"/>
            <w:tcBorders>
              <w:top w:val="nil"/>
              <w:left w:val="nil"/>
              <w:bottom w:val="nil"/>
              <w:right w:val="nil"/>
            </w:tcBorders>
            <w:shd w:val="clear" w:color="auto" w:fill="auto"/>
            <w:noWrap/>
          </w:tcPr>
          <w:p w14:paraId="00F928B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(-1.59 to -1.21)</w:t>
            </w:r>
          </w:p>
        </w:tc>
        <w:tc>
          <w:tcPr>
            <w:tcW w:w="1480" w:type="dxa"/>
            <w:tcBorders>
              <w:top w:val="nil"/>
              <w:left w:val="nil"/>
              <w:bottom w:val="nil"/>
              <w:right w:val="nil"/>
            </w:tcBorders>
            <w:shd w:val="clear" w:color="auto" w:fill="auto"/>
            <w:noWrap/>
          </w:tcPr>
          <w:p w14:paraId="719C4DC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(-0.67 to 3.43)</w:t>
            </w:r>
          </w:p>
        </w:tc>
        <w:tc>
          <w:tcPr>
            <w:tcW w:w="1480" w:type="dxa"/>
            <w:tcBorders>
              <w:top w:val="nil"/>
              <w:left w:val="nil"/>
              <w:bottom w:val="nil"/>
              <w:right w:val="nil"/>
            </w:tcBorders>
            <w:shd w:val="clear" w:color="auto" w:fill="auto"/>
            <w:noWrap/>
          </w:tcPr>
          <w:p w14:paraId="1460757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26.93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(4.85 to 50.65)</w:t>
            </w:r>
          </w:p>
        </w:tc>
        <w:tc>
          <w:tcPr>
            <w:tcW w:w="1565" w:type="dxa"/>
            <w:tcBorders>
              <w:top w:val="nil"/>
              <w:left w:val="nil"/>
              <w:bottom w:val="nil"/>
              <w:right w:val="nil"/>
            </w:tcBorders>
            <w:shd w:val="clear" w:color="auto" w:fill="auto"/>
            <w:noWrap/>
          </w:tcPr>
          <w:p w14:paraId="5387B8E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(0.06 to 0.07)</w:t>
            </w:r>
          </w:p>
        </w:tc>
        <w:tc>
          <w:tcPr>
            <w:tcW w:w="1488" w:type="dxa"/>
            <w:tcBorders>
              <w:top w:val="nil"/>
              <w:left w:val="nil"/>
              <w:bottom w:val="nil"/>
              <w:right w:val="nil"/>
            </w:tcBorders>
            <w:shd w:val="clear" w:color="auto" w:fill="auto"/>
            <w:noWrap/>
          </w:tcPr>
          <w:p w14:paraId="18CCC81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(-1.68 to -1.25)</w:t>
            </w:r>
          </w:p>
        </w:tc>
      </w:tr>
      <w:tr w14:paraId="3A3428C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12894E3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3889FB2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Lead exposure</w:t>
            </w:r>
          </w:p>
        </w:tc>
        <w:tc>
          <w:tcPr>
            <w:tcW w:w="1480" w:type="dxa"/>
            <w:tcBorders>
              <w:top w:val="nil"/>
              <w:left w:val="nil"/>
              <w:bottom w:val="nil"/>
              <w:right w:val="nil"/>
            </w:tcBorders>
            <w:shd w:val="clear" w:color="auto" w:fill="auto"/>
            <w:noWrap/>
          </w:tcPr>
          <w:p w14:paraId="2075FFD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1,627.46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(430.21 to 2,792.63)</w:t>
            </w:r>
          </w:p>
        </w:tc>
        <w:tc>
          <w:tcPr>
            <w:tcW w:w="1591" w:type="dxa"/>
            <w:tcBorders>
              <w:top w:val="nil"/>
              <w:left w:val="nil"/>
              <w:bottom w:val="nil"/>
              <w:right w:val="nil"/>
            </w:tcBorders>
            <w:shd w:val="clear" w:color="auto" w:fill="auto"/>
            <w:noWrap/>
          </w:tcPr>
          <w:p w14:paraId="69E46C5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3.02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(-9.35 to 39.14)</w:t>
            </w:r>
          </w:p>
        </w:tc>
        <w:tc>
          <w:tcPr>
            <w:tcW w:w="1369" w:type="dxa"/>
            <w:tcBorders>
              <w:top w:val="nil"/>
              <w:left w:val="nil"/>
              <w:bottom w:val="nil"/>
              <w:right w:val="nil"/>
            </w:tcBorders>
            <w:shd w:val="clear" w:color="auto" w:fill="auto"/>
            <w:noWrap/>
          </w:tcPr>
          <w:p w14:paraId="7B1D16E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81.37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(81.25 to 81.5)</w:t>
            </w:r>
          </w:p>
        </w:tc>
        <w:tc>
          <w:tcPr>
            <w:tcW w:w="1480" w:type="dxa"/>
            <w:tcBorders>
              <w:top w:val="nil"/>
              <w:left w:val="nil"/>
              <w:bottom w:val="nil"/>
              <w:right w:val="nil"/>
            </w:tcBorders>
            <w:shd w:val="clear" w:color="auto" w:fill="auto"/>
            <w:noWrap/>
          </w:tcPr>
          <w:p w14:paraId="260478D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(-1.68 to -1.51)</w:t>
            </w:r>
          </w:p>
        </w:tc>
        <w:tc>
          <w:tcPr>
            <w:tcW w:w="1480" w:type="dxa"/>
            <w:tcBorders>
              <w:top w:val="nil"/>
              <w:left w:val="nil"/>
              <w:bottom w:val="nil"/>
              <w:right w:val="nil"/>
            </w:tcBorders>
            <w:shd w:val="clear" w:color="auto" w:fill="auto"/>
            <w:noWrap/>
          </w:tcPr>
          <w:p w14:paraId="149C3FD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18.51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(-1.72 to 40.17)</w:t>
            </w:r>
          </w:p>
        </w:tc>
        <w:tc>
          <w:tcPr>
            <w:tcW w:w="1480" w:type="dxa"/>
            <w:tcBorders>
              <w:top w:val="nil"/>
              <w:left w:val="nil"/>
              <w:bottom w:val="nil"/>
              <w:right w:val="nil"/>
            </w:tcBorders>
            <w:shd w:val="clear" w:color="auto" w:fill="auto"/>
            <w:noWrap/>
          </w:tcPr>
          <w:p w14:paraId="494A31B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-10.32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(-22.19 to 2.82)</w:t>
            </w:r>
          </w:p>
        </w:tc>
        <w:tc>
          <w:tcPr>
            <w:tcW w:w="1565" w:type="dxa"/>
            <w:tcBorders>
              <w:top w:val="nil"/>
              <w:left w:val="nil"/>
              <w:bottom w:val="nil"/>
              <w:right w:val="nil"/>
            </w:tcBorders>
            <w:shd w:val="clear" w:color="auto" w:fill="auto"/>
            <w:noWrap/>
          </w:tcPr>
          <w:p w14:paraId="3E61F0B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(0.89 to 0.91)</w:t>
            </w:r>
          </w:p>
        </w:tc>
        <w:tc>
          <w:tcPr>
            <w:tcW w:w="1488" w:type="dxa"/>
            <w:tcBorders>
              <w:top w:val="nil"/>
              <w:left w:val="nil"/>
              <w:bottom w:val="nil"/>
              <w:right w:val="nil"/>
            </w:tcBorders>
            <w:shd w:val="clear" w:color="auto" w:fill="auto"/>
            <w:noWrap/>
          </w:tcPr>
          <w:p w14:paraId="4E5BFE3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-2.32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(-2.43 to -2.21)</w:t>
            </w:r>
          </w:p>
        </w:tc>
      </w:tr>
      <w:tr w14:paraId="3F02889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E0CEE8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5127662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risks</w:t>
            </w:r>
          </w:p>
        </w:tc>
        <w:tc>
          <w:tcPr>
            <w:tcW w:w="1480" w:type="dxa"/>
            <w:tcBorders>
              <w:top w:val="nil"/>
              <w:left w:val="nil"/>
              <w:bottom w:val="nil"/>
              <w:right w:val="nil"/>
            </w:tcBorders>
            <w:shd w:val="clear" w:color="auto" w:fill="auto"/>
            <w:noWrap/>
          </w:tcPr>
          <w:p w14:paraId="6F87513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10,137.07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(7,985.26 to 12,575.12)</w:t>
            </w:r>
          </w:p>
        </w:tc>
        <w:tc>
          <w:tcPr>
            <w:tcW w:w="1591" w:type="dxa"/>
            <w:tcBorders>
              <w:top w:val="nil"/>
              <w:left w:val="nil"/>
              <w:bottom w:val="nil"/>
              <w:right w:val="nil"/>
            </w:tcBorders>
            <w:shd w:val="clear" w:color="auto" w:fill="auto"/>
            <w:noWrap/>
          </w:tcPr>
          <w:p w14:paraId="3543A3C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(-9.15 to 5.62)</w:t>
            </w:r>
          </w:p>
        </w:tc>
        <w:tc>
          <w:tcPr>
            <w:tcW w:w="1369" w:type="dxa"/>
            <w:tcBorders>
              <w:top w:val="nil"/>
              <w:left w:val="nil"/>
              <w:bottom w:val="nil"/>
              <w:right w:val="nil"/>
            </w:tcBorders>
            <w:shd w:val="clear" w:color="auto" w:fill="auto"/>
            <w:noWrap/>
          </w:tcPr>
          <w:p w14:paraId="7EEE688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510.37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(510.06 to 510.69)</w:t>
            </w:r>
          </w:p>
        </w:tc>
        <w:tc>
          <w:tcPr>
            <w:tcW w:w="1480" w:type="dxa"/>
            <w:tcBorders>
              <w:top w:val="nil"/>
              <w:left w:val="nil"/>
              <w:bottom w:val="nil"/>
              <w:right w:val="nil"/>
            </w:tcBorders>
            <w:shd w:val="clear" w:color="auto" w:fill="auto"/>
            <w:noWrap/>
          </w:tcPr>
          <w:p w14:paraId="1B2DB49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(-1.64 to -1.54)</w:t>
            </w:r>
          </w:p>
        </w:tc>
        <w:tc>
          <w:tcPr>
            <w:tcW w:w="1480" w:type="dxa"/>
            <w:tcBorders>
              <w:top w:val="nil"/>
              <w:left w:val="nil"/>
              <w:bottom w:val="nil"/>
              <w:right w:val="nil"/>
            </w:tcBorders>
            <w:shd w:val="clear" w:color="auto" w:fill="auto"/>
            <w:noWrap/>
          </w:tcPr>
          <w:p w14:paraId="4376479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44.91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(41.67 to 48.60)</w:t>
            </w:r>
          </w:p>
        </w:tc>
        <w:tc>
          <w:tcPr>
            <w:tcW w:w="1480" w:type="dxa"/>
            <w:tcBorders>
              <w:top w:val="nil"/>
              <w:left w:val="nil"/>
              <w:bottom w:val="nil"/>
              <w:right w:val="nil"/>
            </w:tcBorders>
            <w:shd w:val="clear" w:color="auto" w:fill="auto"/>
            <w:noWrap/>
          </w:tcPr>
          <w:p w14:paraId="2BA56F4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-33.69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(-41.63 to -25.70)</w:t>
            </w:r>
          </w:p>
        </w:tc>
        <w:tc>
          <w:tcPr>
            <w:tcW w:w="1565" w:type="dxa"/>
            <w:tcBorders>
              <w:top w:val="nil"/>
              <w:left w:val="nil"/>
              <w:bottom w:val="nil"/>
              <w:right w:val="nil"/>
            </w:tcBorders>
            <w:shd w:val="clear" w:color="auto" w:fill="auto"/>
            <w:noWrap/>
          </w:tcPr>
          <w:p w14:paraId="04AAE79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2.27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(2.25 to 2.29)</w:t>
            </w:r>
          </w:p>
        </w:tc>
        <w:tc>
          <w:tcPr>
            <w:tcW w:w="1488" w:type="dxa"/>
            <w:tcBorders>
              <w:top w:val="nil"/>
              <w:left w:val="nil"/>
              <w:bottom w:val="nil"/>
              <w:right w:val="nil"/>
            </w:tcBorders>
            <w:shd w:val="clear" w:color="auto" w:fill="auto"/>
            <w:noWrap/>
          </w:tcPr>
          <w:p w14:paraId="2B8240F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-2.92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(-3.07 to -2.76)</w:t>
            </w:r>
          </w:p>
        </w:tc>
      </w:tr>
      <w:tr w14:paraId="3DD20BF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5F3FBCC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2B3B3FD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carcinogens</w:t>
            </w:r>
          </w:p>
        </w:tc>
        <w:tc>
          <w:tcPr>
            <w:tcW w:w="1480" w:type="dxa"/>
            <w:tcBorders>
              <w:top w:val="nil"/>
              <w:left w:val="nil"/>
              <w:bottom w:val="nil"/>
              <w:right w:val="nil"/>
            </w:tcBorders>
            <w:shd w:val="clear" w:color="auto" w:fill="auto"/>
            <w:noWrap/>
          </w:tcPr>
          <w:p w14:paraId="1B0E0C5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195.18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(144.64 to 251.74)</w:t>
            </w:r>
          </w:p>
        </w:tc>
        <w:tc>
          <w:tcPr>
            <w:tcW w:w="1591" w:type="dxa"/>
            <w:tcBorders>
              <w:top w:val="nil"/>
              <w:left w:val="nil"/>
              <w:bottom w:val="nil"/>
              <w:right w:val="nil"/>
            </w:tcBorders>
            <w:shd w:val="clear" w:color="auto" w:fill="auto"/>
            <w:noWrap/>
          </w:tcPr>
          <w:p w14:paraId="04FCB75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55.25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(30.18 to 85.26)</w:t>
            </w:r>
          </w:p>
        </w:tc>
        <w:tc>
          <w:tcPr>
            <w:tcW w:w="1369" w:type="dxa"/>
            <w:tcBorders>
              <w:top w:val="nil"/>
              <w:left w:val="nil"/>
              <w:bottom w:val="nil"/>
              <w:right w:val="nil"/>
            </w:tcBorders>
            <w:shd w:val="clear" w:color="auto" w:fill="auto"/>
            <w:noWrap/>
          </w:tcPr>
          <w:p w14:paraId="6E11FB2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9.58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(9.54 to 9.62)</w:t>
            </w:r>
          </w:p>
        </w:tc>
        <w:tc>
          <w:tcPr>
            <w:tcW w:w="1480" w:type="dxa"/>
            <w:tcBorders>
              <w:top w:val="nil"/>
              <w:left w:val="nil"/>
              <w:bottom w:val="nil"/>
              <w:right w:val="nil"/>
            </w:tcBorders>
            <w:shd w:val="clear" w:color="auto" w:fill="auto"/>
            <w:noWrap/>
          </w:tcPr>
          <w:p w14:paraId="42DD587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(-0.76 to -0.44)</w:t>
            </w:r>
          </w:p>
        </w:tc>
        <w:tc>
          <w:tcPr>
            <w:tcW w:w="1480" w:type="dxa"/>
            <w:tcBorders>
              <w:top w:val="nil"/>
              <w:left w:val="nil"/>
              <w:bottom w:val="nil"/>
              <w:right w:val="nil"/>
            </w:tcBorders>
            <w:shd w:val="clear" w:color="auto" w:fill="auto"/>
            <w:noWrap/>
          </w:tcPr>
          <w:p w14:paraId="4096CD5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3.99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(2.91 to 5.15)</w:t>
            </w:r>
          </w:p>
        </w:tc>
        <w:tc>
          <w:tcPr>
            <w:tcW w:w="1480" w:type="dxa"/>
            <w:tcBorders>
              <w:top w:val="nil"/>
              <w:left w:val="nil"/>
              <w:bottom w:val="nil"/>
              <w:right w:val="nil"/>
            </w:tcBorders>
            <w:shd w:val="clear" w:color="auto" w:fill="auto"/>
            <w:noWrap/>
          </w:tcPr>
          <w:p w14:paraId="744FE70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60.00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(33.59 to 91.79)</w:t>
            </w:r>
          </w:p>
        </w:tc>
        <w:tc>
          <w:tcPr>
            <w:tcW w:w="1565" w:type="dxa"/>
            <w:tcBorders>
              <w:top w:val="nil"/>
              <w:left w:val="nil"/>
              <w:bottom w:val="nil"/>
              <w:right w:val="nil"/>
            </w:tcBorders>
            <w:shd w:val="clear" w:color="auto" w:fill="auto"/>
            <w:noWrap/>
          </w:tcPr>
          <w:p w14:paraId="385EFDB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(0.19 to 0.2)</w:t>
            </w:r>
          </w:p>
        </w:tc>
        <w:tc>
          <w:tcPr>
            <w:tcW w:w="1488" w:type="dxa"/>
            <w:tcBorders>
              <w:top w:val="nil"/>
              <w:left w:val="nil"/>
              <w:bottom w:val="nil"/>
              <w:right w:val="nil"/>
            </w:tcBorders>
            <w:shd w:val="clear" w:color="auto" w:fill="auto"/>
            <w:noWrap/>
          </w:tcPr>
          <w:p w14:paraId="2F3921C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-0.54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(-0.71 to -0.37)</w:t>
            </w:r>
          </w:p>
        </w:tc>
      </w:tr>
      <w:tr w14:paraId="4B65A7A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E21C47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307A085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asbestos</w:t>
            </w:r>
          </w:p>
        </w:tc>
        <w:tc>
          <w:tcPr>
            <w:tcW w:w="1480" w:type="dxa"/>
            <w:tcBorders>
              <w:top w:val="nil"/>
              <w:left w:val="nil"/>
              <w:bottom w:val="nil"/>
              <w:right w:val="nil"/>
            </w:tcBorders>
            <w:shd w:val="clear" w:color="auto" w:fill="auto"/>
            <w:noWrap/>
          </w:tcPr>
          <w:p w14:paraId="549F54B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25.49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(18.01 to 33.59)</w:t>
            </w:r>
          </w:p>
        </w:tc>
        <w:tc>
          <w:tcPr>
            <w:tcW w:w="1591" w:type="dxa"/>
            <w:tcBorders>
              <w:top w:val="nil"/>
              <w:left w:val="nil"/>
              <w:bottom w:val="nil"/>
              <w:right w:val="nil"/>
            </w:tcBorders>
            <w:shd w:val="clear" w:color="auto" w:fill="auto"/>
            <w:noWrap/>
          </w:tcPr>
          <w:p w14:paraId="7F81B92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66.81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(11.95 to 105.67)</w:t>
            </w:r>
          </w:p>
        </w:tc>
        <w:tc>
          <w:tcPr>
            <w:tcW w:w="1369" w:type="dxa"/>
            <w:tcBorders>
              <w:top w:val="nil"/>
              <w:left w:val="nil"/>
              <w:bottom w:val="nil"/>
              <w:right w:val="nil"/>
            </w:tcBorders>
            <w:shd w:val="clear" w:color="auto" w:fill="auto"/>
            <w:noWrap/>
          </w:tcPr>
          <w:p w14:paraId="2EA93B1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(1.23 to 1.26)</w:t>
            </w:r>
          </w:p>
        </w:tc>
        <w:tc>
          <w:tcPr>
            <w:tcW w:w="1480" w:type="dxa"/>
            <w:tcBorders>
              <w:top w:val="nil"/>
              <w:left w:val="nil"/>
              <w:bottom w:val="nil"/>
              <w:right w:val="nil"/>
            </w:tcBorders>
            <w:shd w:val="clear" w:color="auto" w:fill="auto"/>
            <w:noWrap/>
          </w:tcPr>
          <w:p w14:paraId="2D4C385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-0.57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(-0.72 to -0.41)</w:t>
            </w:r>
          </w:p>
        </w:tc>
        <w:tc>
          <w:tcPr>
            <w:tcW w:w="1480" w:type="dxa"/>
            <w:tcBorders>
              <w:top w:val="nil"/>
              <w:left w:val="nil"/>
              <w:bottom w:val="nil"/>
              <w:right w:val="nil"/>
            </w:tcBorders>
            <w:shd w:val="clear" w:color="auto" w:fill="auto"/>
            <w:noWrap/>
          </w:tcPr>
          <w:p w14:paraId="601B60A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0.53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(0.38 to 0.69)</w:t>
            </w:r>
          </w:p>
        </w:tc>
        <w:tc>
          <w:tcPr>
            <w:tcW w:w="1480" w:type="dxa"/>
            <w:tcBorders>
              <w:top w:val="nil"/>
              <w:left w:val="nil"/>
              <w:bottom w:val="nil"/>
              <w:right w:val="nil"/>
            </w:tcBorders>
            <w:shd w:val="clear" w:color="auto" w:fill="auto"/>
            <w:noWrap/>
          </w:tcPr>
          <w:p w14:paraId="15573C0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67.56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(14.16 to 105.88)</w:t>
            </w:r>
          </w:p>
        </w:tc>
        <w:tc>
          <w:tcPr>
            <w:tcW w:w="1565" w:type="dxa"/>
            <w:tcBorders>
              <w:top w:val="nil"/>
              <w:left w:val="nil"/>
              <w:bottom w:val="nil"/>
              <w:right w:val="nil"/>
            </w:tcBorders>
            <w:shd w:val="clear" w:color="auto" w:fill="auto"/>
            <w:noWrap/>
          </w:tcPr>
          <w:p w14:paraId="4EA6F18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(0.02 to 0.03)</w:t>
            </w:r>
          </w:p>
        </w:tc>
        <w:tc>
          <w:tcPr>
            <w:tcW w:w="1488" w:type="dxa"/>
            <w:tcBorders>
              <w:top w:val="nil"/>
              <w:left w:val="nil"/>
              <w:bottom w:val="nil"/>
              <w:right w:val="nil"/>
            </w:tcBorders>
            <w:shd w:val="clear" w:color="auto" w:fill="auto"/>
            <w:noWrap/>
          </w:tcPr>
          <w:p w14:paraId="758D5E40">
            <w:pPr>
              <w:jc w:val="center"/>
              <w:rPr>
                <w:rFonts w:ascii="Times New Roman" w:hAnsi="Times New Roman" w:cs="Times New Roman"/>
                <w:color w:val="000000"/>
                <w:sz w:val="20"/>
                <w:szCs w:val="20"/>
              </w:rPr>
            </w:pPr>
          </w:p>
        </w:tc>
      </w:tr>
      <w:tr w14:paraId="793361C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15DD627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691692C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arsenic</w:t>
            </w:r>
          </w:p>
        </w:tc>
        <w:tc>
          <w:tcPr>
            <w:tcW w:w="1480" w:type="dxa"/>
            <w:tcBorders>
              <w:top w:val="nil"/>
              <w:left w:val="nil"/>
              <w:bottom w:val="nil"/>
              <w:right w:val="nil"/>
            </w:tcBorders>
            <w:shd w:val="clear" w:color="auto" w:fill="auto"/>
            <w:noWrap/>
          </w:tcPr>
          <w:p w14:paraId="220963D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13.90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(4.23 to 23.99)</w:t>
            </w:r>
          </w:p>
        </w:tc>
        <w:tc>
          <w:tcPr>
            <w:tcW w:w="1591" w:type="dxa"/>
            <w:tcBorders>
              <w:top w:val="nil"/>
              <w:left w:val="nil"/>
              <w:bottom w:val="nil"/>
              <w:right w:val="nil"/>
            </w:tcBorders>
            <w:shd w:val="clear" w:color="auto" w:fill="auto"/>
            <w:noWrap/>
          </w:tcPr>
          <w:p w14:paraId="5D48D60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62.59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(29.16 to 171.20)</w:t>
            </w:r>
          </w:p>
        </w:tc>
        <w:tc>
          <w:tcPr>
            <w:tcW w:w="1369" w:type="dxa"/>
            <w:tcBorders>
              <w:top w:val="nil"/>
              <w:left w:val="nil"/>
              <w:bottom w:val="nil"/>
              <w:right w:val="nil"/>
            </w:tcBorders>
            <w:shd w:val="clear" w:color="auto" w:fill="auto"/>
            <w:noWrap/>
          </w:tcPr>
          <w:p w14:paraId="4E477B9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0.67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(0.66 to 0.69)</w:t>
            </w:r>
          </w:p>
        </w:tc>
        <w:tc>
          <w:tcPr>
            <w:tcW w:w="1480" w:type="dxa"/>
            <w:tcBorders>
              <w:top w:val="nil"/>
              <w:left w:val="nil"/>
              <w:bottom w:val="nil"/>
              <w:right w:val="nil"/>
            </w:tcBorders>
            <w:shd w:val="clear" w:color="auto" w:fill="auto"/>
            <w:noWrap/>
          </w:tcPr>
          <w:p w14:paraId="275E5BA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-0.64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(-0.88 to -0.4)</w:t>
            </w:r>
          </w:p>
        </w:tc>
        <w:tc>
          <w:tcPr>
            <w:tcW w:w="1480" w:type="dxa"/>
            <w:tcBorders>
              <w:top w:val="nil"/>
              <w:left w:val="nil"/>
              <w:bottom w:val="nil"/>
              <w:right w:val="nil"/>
            </w:tcBorders>
            <w:shd w:val="clear" w:color="auto" w:fill="auto"/>
            <w:noWrap/>
          </w:tcPr>
          <w:p w14:paraId="69EDF34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0.30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(0.09 to 0.52)</w:t>
            </w:r>
          </w:p>
        </w:tc>
        <w:tc>
          <w:tcPr>
            <w:tcW w:w="1480" w:type="dxa"/>
            <w:tcBorders>
              <w:top w:val="nil"/>
              <w:left w:val="nil"/>
              <w:bottom w:val="nil"/>
              <w:right w:val="nil"/>
            </w:tcBorders>
            <w:shd w:val="clear" w:color="auto" w:fill="auto"/>
            <w:noWrap/>
          </w:tcPr>
          <w:p w14:paraId="689B933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66.56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(32.00 to 180.12)</w:t>
            </w:r>
          </w:p>
        </w:tc>
        <w:tc>
          <w:tcPr>
            <w:tcW w:w="1565" w:type="dxa"/>
            <w:tcBorders>
              <w:top w:val="nil"/>
              <w:left w:val="nil"/>
              <w:bottom w:val="nil"/>
              <w:right w:val="nil"/>
            </w:tcBorders>
            <w:shd w:val="clear" w:color="auto" w:fill="auto"/>
            <w:noWrap/>
          </w:tcPr>
          <w:p w14:paraId="336B47F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(0.01 to 0.02)</w:t>
            </w:r>
          </w:p>
        </w:tc>
        <w:tc>
          <w:tcPr>
            <w:tcW w:w="1488" w:type="dxa"/>
            <w:tcBorders>
              <w:top w:val="nil"/>
              <w:left w:val="nil"/>
              <w:bottom w:val="nil"/>
              <w:right w:val="nil"/>
            </w:tcBorders>
            <w:shd w:val="clear" w:color="auto" w:fill="auto"/>
            <w:noWrap/>
          </w:tcPr>
          <w:p w14:paraId="35B4EEA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(-2.47 to -0.92)</w:t>
            </w:r>
          </w:p>
        </w:tc>
      </w:tr>
      <w:tr w14:paraId="50BAEBF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433B714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5A75840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benzene</w:t>
            </w:r>
          </w:p>
        </w:tc>
        <w:tc>
          <w:tcPr>
            <w:tcW w:w="1480" w:type="dxa"/>
            <w:tcBorders>
              <w:top w:val="nil"/>
              <w:left w:val="nil"/>
              <w:bottom w:val="nil"/>
              <w:right w:val="nil"/>
            </w:tcBorders>
            <w:shd w:val="clear" w:color="auto" w:fill="auto"/>
            <w:noWrap/>
          </w:tcPr>
          <w:p w14:paraId="695745E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30.94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(9.33 to 51.49)</w:t>
            </w:r>
          </w:p>
        </w:tc>
        <w:tc>
          <w:tcPr>
            <w:tcW w:w="1591" w:type="dxa"/>
            <w:tcBorders>
              <w:top w:val="nil"/>
              <w:left w:val="nil"/>
              <w:bottom w:val="nil"/>
              <w:right w:val="nil"/>
            </w:tcBorders>
            <w:shd w:val="clear" w:color="auto" w:fill="auto"/>
            <w:noWrap/>
          </w:tcPr>
          <w:p w14:paraId="542199B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43.01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(18.85 to 76.55)</w:t>
            </w:r>
          </w:p>
        </w:tc>
        <w:tc>
          <w:tcPr>
            <w:tcW w:w="1369" w:type="dxa"/>
            <w:tcBorders>
              <w:top w:val="nil"/>
              <w:left w:val="nil"/>
              <w:bottom w:val="nil"/>
              <w:right w:val="nil"/>
            </w:tcBorders>
            <w:shd w:val="clear" w:color="auto" w:fill="auto"/>
            <w:noWrap/>
          </w:tcPr>
          <w:p w14:paraId="2811EEE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(1.55 to 1.59)</w:t>
            </w:r>
          </w:p>
        </w:tc>
        <w:tc>
          <w:tcPr>
            <w:tcW w:w="1480" w:type="dxa"/>
            <w:tcBorders>
              <w:top w:val="nil"/>
              <w:left w:val="nil"/>
              <w:bottom w:val="nil"/>
              <w:right w:val="nil"/>
            </w:tcBorders>
            <w:shd w:val="clear" w:color="auto" w:fill="auto"/>
            <w:noWrap/>
          </w:tcPr>
          <w:p w14:paraId="5307A27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-0.31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(-0.4 to -0.22)</w:t>
            </w:r>
          </w:p>
        </w:tc>
        <w:tc>
          <w:tcPr>
            <w:tcW w:w="1480" w:type="dxa"/>
            <w:tcBorders>
              <w:top w:val="nil"/>
              <w:left w:val="nil"/>
              <w:bottom w:val="nil"/>
              <w:right w:val="nil"/>
            </w:tcBorders>
            <w:shd w:val="clear" w:color="auto" w:fill="auto"/>
            <w:noWrap/>
          </w:tcPr>
          <w:p w14:paraId="66F1453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0.56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(0.17 to 0.93)</w:t>
            </w:r>
          </w:p>
        </w:tc>
        <w:tc>
          <w:tcPr>
            <w:tcW w:w="1480" w:type="dxa"/>
            <w:tcBorders>
              <w:top w:val="nil"/>
              <w:left w:val="nil"/>
              <w:bottom w:val="nil"/>
              <w:right w:val="nil"/>
            </w:tcBorders>
            <w:shd w:val="clear" w:color="auto" w:fill="auto"/>
            <w:noWrap/>
          </w:tcPr>
          <w:p w14:paraId="50F9247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46.44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(21.99 to 80.45)</w:t>
            </w:r>
          </w:p>
        </w:tc>
        <w:tc>
          <w:tcPr>
            <w:tcW w:w="1565" w:type="dxa"/>
            <w:tcBorders>
              <w:top w:val="nil"/>
              <w:left w:val="nil"/>
              <w:bottom w:val="nil"/>
              <w:right w:val="nil"/>
            </w:tcBorders>
            <w:shd w:val="clear" w:color="auto" w:fill="auto"/>
            <w:noWrap/>
          </w:tcPr>
          <w:p w14:paraId="00F9197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(0.03 to 0.03)</w:t>
            </w:r>
          </w:p>
        </w:tc>
        <w:tc>
          <w:tcPr>
            <w:tcW w:w="1488" w:type="dxa"/>
            <w:tcBorders>
              <w:top w:val="nil"/>
              <w:left w:val="nil"/>
              <w:bottom w:val="nil"/>
              <w:right w:val="nil"/>
            </w:tcBorders>
            <w:shd w:val="clear" w:color="auto" w:fill="auto"/>
            <w:noWrap/>
          </w:tcPr>
          <w:p w14:paraId="6F52A618">
            <w:pPr>
              <w:jc w:val="center"/>
              <w:rPr>
                <w:rFonts w:ascii="Times New Roman" w:hAnsi="Times New Roman" w:cs="Times New Roman"/>
                <w:color w:val="000000"/>
                <w:sz w:val="20"/>
                <w:szCs w:val="20"/>
              </w:rPr>
            </w:pPr>
          </w:p>
        </w:tc>
      </w:tr>
      <w:tr w14:paraId="213B379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2DFA604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794C7AE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beryllium</w:t>
            </w:r>
          </w:p>
        </w:tc>
        <w:tc>
          <w:tcPr>
            <w:tcW w:w="1480" w:type="dxa"/>
            <w:tcBorders>
              <w:top w:val="nil"/>
              <w:left w:val="nil"/>
              <w:bottom w:val="nil"/>
              <w:right w:val="nil"/>
            </w:tcBorders>
            <w:shd w:val="clear" w:color="auto" w:fill="auto"/>
            <w:noWrap/>
          </w:tcPr>
          <w:p w14:paraId="0614CEF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0.48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(0.30 to 0.71)</w:t>
            </w:r>
          </w:p>
        </w:tc>
        <w:tc>
          <w:tcPr>
            <w:tcW w:w="1591" w:type="dxa"/>
            <w:tcBorders>
              <w:top w:val="nil"/>
              <w:left w:val="nil"/>
              <w:bottom w:val="nil"/>
              <w:right w:val="nil"/>
            </w:tcBorders>
            <w:shd w:val="clear" w:color="auto" w:fill="auto"/>
            <w:noWrap/>
          </w:tcPr>
          <w:p w14:paraId="6754666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75.08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(33.75 to 127.03)</w:t>
            </w:r>
          </w:p>
        </w:tc>
        <w:tc>
          <w:tcPr>
            <w:tcW w:w="1369" w:type="dxa"/>
            <w:tcBorders>
              <w:top w:val="nil"/>
              <w:left w:val="nil"/>
              <w:bottom w:val="nil"/>
              <w:right w:val="nil"/>
            </w:tcBorders>
            <w:shd w:val="clear" w:color="auto" w:fill="auto"/>
            <w:noWrap/>
          </w:tcPr>
          <w:p w14:paraId="2BE8FEE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(0.02 to 0.03)</w:t>
            </w:r>
          </w:p>
        </w:tc>
        <w:tc>
          <w:tcPr>
            <w:tcW w:w="1480" w:type="dxa"/>
            <w:tcBorders>
              <w:top w:val="nil"/>
              <w:left w:val="nil"/>
              <w:bottom w:val="nil"/>
              <w:right w:val="nil"/>
            </w:tcBorders>
            <w:shd w:val="clear" w:color="auto" w:fill="auto"/>
            <w:noWrap/>
          </w:tcPr>
          <w:p w14:paraId="2488492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(-1.77 to -0.61)</w:t>
            </w:r>
          </w:p>
        </w:tc>
        <w:tc>
          <w:tcPr>
            <w:tcW w:w="1480" w:type="dxa"/>
            <w:tcBorders>
              <w:top w:val="nil"/>
              <w:left w:val="nil"/>
              <w:bottom w:val="nil"/>
              <w:right w:val="nil"/>
            </w:tcBorders>
            <w:shd w:val="clear" w:color="auto" w:fill="auto"/>
            <w:noWrap/>
          </w:tcPr>
          <w:p w14:paraId="1B6A1C9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(0.01 to 0.02)</w:t>
            </w:r>
          </w:p>
        </w:tc>
        <w:tc>
          <w:tcPr>
            <w:tcW w:w="1480" w:type="dxa"/>
            <w:tcBorders>
              <w:top w:val="nil"/>
              <w:left w:val="nil"/>
              <w:bottom w:val="nil"/>
              <w:right w:val="nil"/>
            </w:tcBorders>
            <w:shd w:val="clear" w:color="auto" w:fill="auto"/>
            <w:noWrap/>
          </w:tcPr>
          <w:p w14:paraId="50D820D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80.38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(37.37 to 134.07)</w:t>
            </w:r>
          </w:p>
        </w:tc>
        <w:tc>
          <w:tcPr>
            <w:tcW w:w="1565" w:type="dxa"/>
            <w:tcBorders>
              <w:top w:val="nil"/>
              <w:left w:val="nil"/>
              <w:bottom w:val="nil"/>
              <w:right w:val="nil"/>
            </w:tcBorders>
            <w:shd w:val="clear" w:color="auto" w:fill="auto"/>
            <w:noWrap/>
          </w:tcPr>
          <w:p w14:paraId="0E70398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 to 0)</w:t>
            </w:r>
          </w:p>
        </w:tc>
        <w:tc>
          <w:tcPr>
            <w:tcW w:w="1488" w:type="dxa"/>
            <w:tcBorders>
              <w:top w:val="nil"/>
              <w:left w:val="nil"/>
              <w:bottom w:val="nil"/>
              <w:right w:val="nil"/>
            </w:tcBorders>
            <w:shd w:val="clear" w:color="auto" w:fill="auto"/>
            <w:noWrap/>
          </w:tcPr>
          <w:p w14:paraId="025C126B">
            <w:pPr>
              <w:jc w:val="center"/>
              <w:rPr>
                <w:rFonts w:ascii="Times New Roman" w:hAnsi="Times New Roman" w:cs="Times New Roman"/>
                <w:color w:val="000000"/>
                <w:sz w:val="20"/>
                <w:szCs w:val="20"/>
              </w:rPr>
            </w:pPr>
          </w:p>
        </w:tc>
      </w:tr>
      <w:tr w14:paraId="775CD1C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7D04F7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0D86184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cadmium</w:t>
            </w:r>
          </w:p>
        </w:tc>
        <w:tc>
          <w:tcPr>
            <w:tcW w:w="1480" w:type="dxa"/>
            <w:tcBorders>
              <w:top w:val="nil"/>
              <w:left w:val="nil"/>
              <w:bottom w:val="nil"/>
              <w:right w:val="nil"/>
            </w:tcBorders>
            <w:shd w:val="clear" w:color="auto" w:fill="auto"/>
            <w:noWrap/>
          </w:tcPr>
          <w:p w14:paraId="6C5EE3C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(0.82 to 1.74)</w:t>
            </w:r>
          </w:p>
        </w:tc>
        <w:tc>
          <w:tcPr>
            <w:tcW w:w="1591" w:type="dxa"/>
            <w:tcBorders>
              <w:top w:val="nil"/>
              <w:left w:val="nil"/>
              <w:bottom w:val="nil"/>
              <w:right w:val="nil"/>
            </w:tcBorders>
            <w:shd w:val="clear" w:color="auto" w:fill="auto"/>
            <w:noWrap/>
          </w:tcPr>
          <w:p w14:paraId="0F54ACF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94.91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(46.28 to 156.30)</w:t>
            </w:r>
          </w:p>
        </w:tc>
        <w:tc>
          <w:tcPr>
            <w:tcW w:w="1369" w:type="dxa"/>
            <w:tcBorders>
              <w:top w:val="nil"/>
              <w:left w:val="nil"/>
              <w:bottom w:val="nil"/>
              <w:right w:val="nil"/>
            </w:tcBorders>
            <w:shd w:val="clear" w:color="auto" w:fill="auto"/>
            <w:noWrap/>
          </w:tcPr>
          <w:p w14:paraId="3E7C8D1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(0.06 to 0.06)</w:t>
            </w:r>
          </w:p>
        </w:tc>
        <w:tc>
          <w:tcPr>
            <w:tcW w:w="1480" w:type="dxa"/>
            <w:tcBorders>
              <w:top w:val="nil"/>
              <w:left w:val="nil"/>
              <w:bottom w:val="nil"/>
              <w:right w:val="nil"/>
            </w:tcBorders>
            <w:shd w:val="clear" w:color="auto" w:fill="auto"/>
            <w:noWrap/>
          </w:tcPr>
          <w:p w14:paraId="4B3EAEB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(-0.34 to 0.27)</w:t>
            </w:r>
          </w:p>
        </w:tc>
        <w:tc>
          <w:tcPr>
            <w:tcW w:w="1480" w:type="dxa"/>
            <w:tcBorders>
              <w:top w:val="nil"/>
              <w:left w:val="nil"/>
              <w:bottom w:val="nil"/>
              <w:right w:val="nil"/>
            </w:tcBorders>
            <w:shd w:val="clear" w:color="auto" w:fill="auto"/>
            <w:noWrap/>
          </w:tcPr>
          <w:p w14:paraId="3EC23F4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(0.02 to 0.04)</w:t>
            </w:r>
          </w:p>
        </w:tc>
        <w:tc>
          <w:tcPr>
            <w:tcW w:w="1480" w:type="dxa"/>
            <w:tcBorders>
              <w:top w:val="nil"/>
              <w:left w:val="nil"/>
              <w:bottom w:val="nil"/>
              <w:right w:val="nil"/>
            </w:tcBorders>
            <w:shd w:val="clear" w:color="auto" w:fill="auto"/>
            <w:noWrap/>
          </w:tcPr>
          <w:p w14:paraId="3D0296F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100.81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(50.11 to 164.42)</w:t>
            </w:r>
          </w:p>
        </w:tc>
        <w:tc>
          <w:tcPr>
            <w:tcW w:w="1565" w:type="dxa"/>
            <w:tcBorders>
              <w:top w:val="nil"/>
              <w:left w:val="nil"/>
              <w:bottom w:val="nil"/>
              <w:right w:val="nil"/>
            </w:tcBorders>
            <w:shd w:val="clear" w:color="auto" w:fill="auto"/>
            <w:noWrap/>
          </w:tcPr>
          <w:p w14:paraId="2765FAC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 to 0)</w:t>
            </w:r>
          </w:p>
        </w:tc>
        <w:tc>
          <w:tcPr>
            <w:tcW w:w="1488" w:type="dxa"/>
            <w:tcBorders>
              <w:top w:val="nil"/>
              <w:left w:val="nil"/>
              <w:bottom w:val="nil"/>
              <w:right w:val="nil"/>
            </w:tcBorders>
            <w:shd w:val="clear" w:color="auto" w:fill="auto"/>
            <w:noWrap/>
          </w:tcPr>
          <w:p w14:paraId="0E51E8CE">
            <w:pPr>
              <w:jc w:val="center"/>
              <w:rPr>
                <w:rFonts w:ascii="Times New Roman" w:hAnsi="Times New Roman" w:cs="Times New Roman"/>
                <w:color w:val="000000"/>
                <w:sz w:val="20"/>
                <w:szCs w:val="20"/>
              </w:rPr>
            </w:pPr>
          </w:p>
        </w:tc>
      </w:tr>
      <w:tr w14:paraId="079D981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EE84F7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713DDE2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chromium</w:t>
            </w:r>
          </w:p>
        </w:tc>
        <w:tc>
          <w:tcPr>
            <w:tcW w:w="1480" w:type="dxa"/>
            <w:tcBorders>
              <w:top w:val="nil"/>
              <w:left w:val="nil"/>
              <w:bottom w:val="nil"/>
              <w:right w:val="nil"/>
            </w:tcBorders>
            <w:shd w:val="clear" w:color="auto" w:fill="auto"/>
            <w:noWrap/>
          </w:tcPr>
          <w:p w14:paraId="6D80480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2.68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(1.97 to 3.70)</w:t>
            </w:r>
          </w:p>
        </w:tc>
        <w:tc>
          <w:tcPr>
            <w:tcW w:w="1591" w:type="dxa"/>
            <w:tcBorders>
              <w:top w:val="nil"/>
              <w:left w:val="nil"/>
              <w:bottom w:val="nil"/>
              <w:right w:val="nil"/>
            </w:tcBorders>
            <w:shd w:val="clear" w:color="auto" w:fill="auto"/>
            <w:noWrap/>
          </w:tcPr>
          <w:p w14:paraId="6D58D21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118.35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(70.81 to 178.04)</w:t>
            </w:r>
          </w:p>
        </w:tc>
        <w:tc>
          <w:tcPr>
            <w:tcW w:w="1369" w:type="dxa"/>
            <w:tcBorders>
              <w:top w:val="nil"/>
              <w:left w:val="nil"/>
              <w:bottom w:val="nil"/>
              <w:right w:val="nil"/>
            </w:tcBorders>
            <w:shd w:val="clear" w:color="auto" w:fill="auto"/>
            <w:noWrap/>
          </w:tcPr>
          <w:p w14:paraId="0380C58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0.13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(0.13 to 0.13)</w:t>
            </w:r>
          </w:p>
        </w:tc>
        <w:tc>
          <w:tcPr>
            <w:tcW w:w="1480" w:type="dxa"/>
            <w:tcBorders>
              <w:top w:val="nil"/>
              <w:left w:val="nil"/>
              <w:bottom w:val="nil"/>
              <w:right w:val="nil"/>
            </w:tcBorders>
            <w:shd w:val="clear" w:color="auto" w:fill="auto"/>
            <w:noWrap/>
          </w:tcPr>
          <w:p w14:paraId="7E277C2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0.41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(0.15 to 0.67)</w:t>
            </w:r>
          </w:p>
        </w:tc>
        <w:tc>
          <w:tcPr>
            <w:tcW w:w="1480" w:type="dxa"/>
            <w:tcBorders>
              <w:top w:val="nil"/>
              <w:left w:val="nil"/>
              <w:bottom w:val="nil"/>
              <w:right w:val="nil"/>
            </w:tcBorders>
            <w:shd w:val="clear" w:color="auto" w:fill="auto"/>
            <w:noWrap/>
          </w:tcPr>
          <w:p w14:paraId="4BD3AEE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(0.04 to 0.08)</w:t>
            </w:r>
          </w:p>
        </w:tc>
        <w:tc>
          <w:tcPr>
            <w:tcW w:w="1480" w:type="dxa"/>
            <w:tcBorders>
              <w:top w:val="nil"/>
              <w:left w:val="nil"/>
              <w:bottom w:val="nil"/>
              <w:right w:val="nil"/>
            </w:tcBorders>
            <w:shd w:val="clear" w:color="auto" w:fill="auto"/>
            <w:noWrap/>
          </w:tcPr>
          <w:p w14:paraId="12E9A4C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124.78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(75.84 to 185.83)</w:t>
            </w:r>
          </w:p>
        </w:tc>
        <w:tc>
          <w:tcPr>
            <w:tcW w:w="1565" w:type="dxa"/>
            <w:tcBorders>
              <w:top w:val="nil"/>
              <w:left w:val="nil"/>
              <w:bottom w:val="nil"/>
              <w:right w:val="nil"/>
            </w:tcBorders>
            <w:shd w:val="clear" w:color="auto" w:fill="auto"/>
            <w:noWrap/>
          </w:tcPr>
          <w:p w14:paraId="2862CCA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 to 0)</w:t>
            </w:r>
          </w:p>
        </w:tc>
        <w:tc>
          <w:tcPr>
            <w:tcW w:w="1488" w:type="dxa"/>
            <w:tcBorders>
              <w:top w:val="nil"/>
              <w:left w:val="nil"/>
              <w:bottom w:val="nil"/>
              <w:right w:val="nil"/>
            </w:tcBorders>
            <w:shd w:val="clear" w:color="auto" w:fill="auto"/>
            <w:noWrap/>
          </w:tcPr>
          <w:p w14:paraId="71529150">
            <w:pPr>
              <w:jc w:val="center"/>
              <w:rPr>
                <w:rFonts w:ascii="Times New Roman" w:hAnsi="Times New Roman" w:cs="Times New Roman"/>
                <w:color w:val="000000"/>
                <w:sz w:val="20"/>
                <w:szCs w:val="20"/>
              </w:rPr>
            </w:pPr>
          </w:p>
        </w:tc>
      </w:tr>
      <w:tr w14:paraId="547BF9D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43DF43C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6738ECD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diesel engine exhaust</w:t>
            </w:r>
          </w:p>
        </w:tc>
        <w:tc>
          <w:tcPr>
            <w:tcW w:w="1480" w:type="dxa"/>
            <w:tcBorders>
              <w:top w:val="nil"/>
              <w:left w:val="nil"/>
              <w:bottom w:val="nil"/>
              <w:right w:val="nil"/>
            </w:tcBorders>
            <w:shd w:val="clear" w:color="auto" w:fill="auto"/>
            <w:noWrap/>
          </w:tcPr>
          <w:p w14:paraId="0DE28DA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28.40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(20.92 to 38.47)</w:t>
            </w:r>
          </w:p>
        </w:tc>
        <w:tc>
          <w:tcPr>
            <w:tcW w:w="1591" w:type="dxa"/>
            <w:tcBorders>
              <w:top w:val="nil"/>
              <w:left w:val="nil"/>
              <w:bottom w:val="nil"/>
              <w:right w:val="nil"/>
            </w:tcBorders>
            <w:shd w:val="clear" w:color="auto" w:fill="auto"/>
            <w:noWrap/>
          </w:tcPr>
          <w:p w14:paraId="47613D8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130.55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(81.22 to 193.22)</w:t>
            </w:r>
          </w:p>
        </w:tc>
        <w:tc>
          <w:tcPr>
            <w:tcW w:w="1369" w:type="dxa"/>
            <w:tcBorders>
              <w:top w:val="nil"/>
              <w:left w:val="nil"/>
              <w:bottom w:val="nil"/>
              <w:right w:val="nil"/>
            </w:tcBorders>
            <w:shd w:val="clear" w:color="auto" w:fill="auto"/>
            <w:noWrap/>
          </w:tcPr>
          <w:p w14:paraId="788303B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(1.36 to 1.39)</w:t>
            </w:r>
          </w:p>
        </w:tc>
        <w:tc>
          <w:tcPr>
            <w:tcW w:w="1480" w:type="dxa"/>
            <w:tcBorders>
              <w:top w:val="nil"/>
              <w:left w:val="nil"/>
              <w:bottom w:val="nil"/>
              <w:right w:val="nil"/>
            </w:tcBorders>
            <w:shd w:val="clear" w:color="auto" w:fill="auto"/>
            <w:noWrap/>
          </w:tcPr>
          <w:p w14:paraId="5531835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0.56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(0.39 to 0.73)</w:t>
            </w:r>
          </w:p>
        </w:tc>
        <w:tc>
          <w:tcPr>
            <w:tcW w:w="1480" w:type="dxa"/>
            <w:tcBorders>
              <w:top w:val="nil"/>
              <w:left w:val="nil"/>
              <w:bottom w:val="nil"/>
              <w:right w:val="nil"/>
            </w:tcBorders>
            <w:shd w:val="clear" w:color="auto" w:fill="auto"/>
            <w:noWrap/>
          </w:tcPr>
          <w:p w14:paraId="6788FCD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0.61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(0.44 to 0.84)</w:t>
            </w:r>
          </w:p>
        </w:tc>
        <w:tc>
          <w:tcPr>
            <w:tcW w:w="1480" w:type="dxa"/>
            <w:tcBorders>
              <w:top w:val="nil"/>
              <w:left w:val="nil"/>
              <w:bottom w:val="nil"/>
              <w:right w:val="nil"/>
            </w:tcBorders>
            <w:shd w:val="clear" w:color="auto" w:fill="auto"/>
            <w:noWrap/>
          </w:tcPr>
          <w:p w14:paraId="0D57D81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136.89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(85.70 to 200.85)</w:t>
            </w:r>
          </w:p>
        </w:tc>
        <w:tc>
          <w:tcPr>
            <w:tcW w:w="1565" w:type="dxa"/>
            <w:tcBorders>
              <w:top w:val="nil"/>
              <w:left w:val="nil"/>
              <w:bottom w:val="nil"/>
              <w:right w:val="nil"/>
            </w:tcBorders>
            <w:shd w:val="clear" w:color="auto" w:fill="auto"/>
            <w:noWrap/>
          </w:tcPr>
          <w:p w14:paraId="7E08942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(0.03 to 0.03)</w:t>
            </w:r>
          </w:p>
        </w:tc>
        <w:tc>
          <w:tcPr>
            <w:tcW w:w="1488" w:type="dxa"/>
            <w:tcBorders>
              <w:top w:val="nil"/>
              <w:left w:val="nil"/>
              <w:bottom w:val="nil"/>
              <w:right w:val="nil"/>
            </w:tcBorders>
            <w:shd w:val="clear" w:color="auto" w:fill="auto"/>
            <w:noWrap/>
          </w:tcPr>
          <w:p w14:paraId="2A27D0A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0.84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(0.39 to 1.28)</w:t>
            </w:r>
          </w:p>
        </w:tc>
      </w:tr>
      <w:tr w14:paraId="5B4B496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32BC9C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31E7AA2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formaldehyde</w:t>
            </w:r>
          </w:p>
        </w:tc>
        <w:tc>
          <w:tcPr>
            <w:tcW w:w="1480" w:type="dxa"/>
            <w:tcBorders>
              <w:top w:val="nil"/>
              <w:left w:val="nil"/>
              <w:bottom w:val="nil"/>
              <w:right w:val="nil"/>
            </w:tcBorders>
            <w:shd w:val="clear" w:color="auto" w:fill="auto"/>
            <w:noWrap/>
          </w:tcPr>
          <w:p w14:paraId="1F76BCF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14.34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(9.94 to 19.18)</w:t>
            </w:r>
          </w:p>
        </w:tc>
        <w:tc>
          <w:tcPr>
            <w:tcW w:w="1591" w:type="dxa"/>
            <w:tcBorders>
              <w:top w:val="nil"/>
              <w:left w:val="nil"/>
              <w:bottom w:val="nil"/>
              <w:right w:val="nil"/>
            </w:tcBorders>
            <w:shd w:val="clear" w:color="auto" w:fill="auto"/>
            <w:noWrap/>
          </w:tcPr>
          <w:p w14:paraId="293BDE5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13.46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(-10.58 to 40.93)</w:t>
            </w:r>
          </w:p>
        </w:tc>
        <w:tc>
          <w:tcPr>
            <w:tcW w:w="1369" w:type="dxa"/>
            <w:tcBorders>
              <w:top w:val="nil"/>
              <w:left w:val="nil"/>
              <w:bottom w:val="nil"/>
              <w:right w:val="nil"/>
            </w:tcBorders>
            <w:shd w:val="clear" w:color="auto" w:fill="auto"/>
            <w:noWrap/>
          </w:tcPr>
          <w:p w14:paraId="78CD998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0.72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(0.71 to 0.73)</w:t>
            </w:r>
          </w:p>
        </w:tc>
        <w:tc>
          <w:tcPr>
            <w:tcW w:w="1480" w:type="dxa"/>
            <w:tcBorders>
              <w:top w:val="nil"/>
              <w:left w:val="nil"/>
              <w:bottom w:val="nil"/>
              <w:right w:val="nil"/>
            </w:tcBorders>
            <w:shd w:val="clear" w:color="auto" w:fill="auto"/>
            <w:noWrap/>
          </w:tcPr>
          <w:p w14:paraId="0288B04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 to -1.18)</w:t>
            </w:r>
          </w:p>
        </w:tc>
        <w:tc>
          <w:tcPr>
            <w:tcW w:w="1480" w:type="dxa"/>
            <w:tcBorders>
              <w:top w:val="nil"/>
              <w:left w:val="nil"/>
              <w:bottom w:val="nil"/>
              <w:right w:val="nil"/>
            </w:tcBorders>
            <w:shd w:val="clear" w:color="auto" w:fill="auto"/>
            <w:noWrap/>
          </w:tcPr>
          <w:p w14:paraId="50DF8FF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0.26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(0.18 to 0.35)</w:t>
            </w:r>
          </w:p>
        </w:tc>
        <w:tc>
          <w:tcPr>
            <w:tcW w:w="1480" w:type="dxa"/>
            <w:tcBorders>
              <w:top w:val="nil"/>
              <w:left w:val="nil"/>
              <w:bottom w:val="nil"/>
              <w:right w:val="nil"/>
            </w:tcBorders>
            <w:shd w:val="clear" w:color="auto" w:fill="auto"/>
            <w:noWrap/>
          </w:tcPr>
          <w:p w14:paraId="2BA2364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15.34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(-8.61 to 43.51)</w:t>
            </w:r>
          </w:p>
        </w:tc>
        <w:tc>
          <w:tcPr>
            <w:tcW w:w="1565" w:type="dxa"/>
            <w:tcBorders>
              <w:top w:val="nil"/>
              <w:left w:val="nil"/>
              <w:bottom w:val="nil"/>
              <w:right w:val="nil"/>
            </w:tcBorders>
            <w:shd w:val="clear" w:color="auto" w:fill="auto"/>
            <w:noWrap/>
          </w:tcPr>
          <w:p w14:paraId="0909C40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(0.01 to 0.01)</w:t>
            </w:r>
          </w:p>
        </w:tc>
        <w:tc>
          <w:tcPr>
            <w:tcW w:w="1488" w:type="dxa"/>
            <w:tcBorders>
              <w:top w:val="nil"/>
              <w:left w:val="nil"/>
              <w:bottom w:val="nil"/>
              <w:right w:val="nil"/>
            </w:tcBorders>
            <w:shd w:val="clear" w:color="auto" w:fill="auto"/>
            <w:noWrap/>
          </w:tcPr>
          <w:p w14:paraId="56B0E4E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(-3.72 to -2.29)</w:t>
            </w:r>
          </w:p>
        </w:tc>
      </w:tr>
      <w:tr w14:paraId="276F52F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24B4D6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4DE46A1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nickel</w:t>
            </w:r>
          </w:p>
        </w:tc>
        <w:tc>
          <w:tcPr>
            <w:tcW w:w="1480" w:type="dxa"/>
            <w:tcBorders>
              <w:top w:val="nil"/>
              <w:left w:val="nil"/>
              <w:bottom w:val="nil"/>
              <w:right w:val="nil"/>
            </w:tcBorders>
            <w:shd w:val="clear" w:color="auto" w:fill="auto"/>
            <w:noWrap/>
          </w:tcPr>
          <w:p w14:paraId="4EC6C4E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12.33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(1.90 to 30.43)</w:t>
            </w:r>
          </w:p>
        </w:tc>
        <w:tc>
          <w:tcPr>
            <w:tcW w:w="1591" w:type="dxa"/>
            <w:tcBorders>
              <w:top w:val="nil"/>
              <w:left w:val="nil"/>
              <w:bottom w:val="nil"/>
              <w:right w:val="nil"/>
            </w:tcBorders>
            <w:shd w:val="clear" w:color="auto" w:fill="auto"/>
            <w:noWrap/>
          </w:tcPr>
          <w:p w14:paraId="3A7CB5D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56.35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(16.46 to 171.04)</w:t>
            </w:r>
          </w:p>
        </w:tc>
        <w:tc>
          <w:tcPr>
            <w:tcW w:w="1369" w:type="dxa"/>
            <w:tcBorders>
              <w:top w:val="nil"/>
              <w:left w:val="nil"/>
              <w:bottom w:val="nil"/>
              <w:right w:val="nil"/>
            </w:tcBorders>
            <w:shd w:val="clear" w:color="auto" w:fill="auto"/>
            <w:noWrap/>
          </w:tcPr>
          <w:p w14:paraId="5D5A11B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(0.59 to 0.61)</w:t>
            </w:r>
          </w:p>
        </w:tc>
        <w:tc>
          <w:tcPr>
            <w:tcW w:w="1480" w:type="dxa"/>
            <w:tcBorders>
              <w:top w:val="nil"/>
              <w:left w:val="nil"/>
              <w:bottom w:val="nil"/>
              <w:right w:val="nil"/>
            </w:tcBorders>
            <w:shd w:val="clear" w:color="auto" w:fill="auto"/>
            <w:noWrap/>
          </w:tcPr>
          <w:p w14:paraId="6365796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-0.78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(-1.01 to -0.56)</w:t>
            </w:r>
          </w:p>
        </w:tc>
        <w:tc>
          <w:tcPr>
            <w:tcW w:w="1480" w:type="dxa"/>
            <w:tcBorders>
              <w:top w:val="nil"/>
              <w:left w:val="nil"/>
              <w:bottom w:val="nil"/>
              <w:right w:val="nil"/>
            </w:tcBorders>
            <w:shd w:val="clear" w:color="auto" w:fill="auto"/>
            <w:noWrap/>
          </w:tcPr>
          <w:p w14:paraId="46F071C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0.27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(0.04 to 0.66)</w:t>
            </w:r>
          </w:p>
        </w:tc>
        <w:tc>
          <w:tcPr>
            <w:tcW w:w="1480" w:type="dxa"/>
            <w:tcBorders>
              <w:top w:val="nil"/>
              <w:left w:val="nil"/>
              <w:bottom w:val="nil"/>
              <w:right w:val="nil"/>
            </w:tcBorders>
            <w:shd w:val="clear" w:color="auto" w:fill="auto"/>
            <w:noWrap/>
          </w:tcPr>
          <w:p w14:paraId="114928E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60.50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(19.11 to 184.17)</w:t>
            </w:r>
          </w:p>
        </w:tc>
        <w:tc>
          <w:tcPr>
            <w:tcW w:w="1565" w:type="dxa"/>
            <w:tcBorders>
              <w:top w:val="nil"/>
              <w:left w:val="nil"/>
              <w:bottom w:val="nil"/>
              <w:right w:val="nil"/>
            </w:tcBorders>
            <w:shd w:val="clear" w:color="auto" w:fill="auto"/>
            <w:noWrap/>
          </w:tcPr>
          <w:p w14:paraId="3EB2B7F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(0.01 to 0.01)</w:t>
            </w:r>
          </w:p>
        </w:tc>
        <w:tc>
          <w:tcPr>
            <w:tcW w:w="1488" w:type="dxa"/>
            <w:tcBorders>
              <w:top w:val="nil"/>
              <w:left w:val="nil"/>
              <w:bottom w:val="nil"/>
              <w:right w:val="nil"/>
            </w:tcBorders>
            <w:shd w:val="clear" w:color="auto" w:fill="auto"/>
            <w:noWrap/>
          </w:tcPr>
          <w:p w14:paraId="6948C30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-2.37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(-3.33 to -1.41)</w:t>
            </w:r>
          </w:p>
        </w:tc>
      </w:tr>
      <w:tr w14:paraId="60BE439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4CDA82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10B8369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polycyclic aromatic hydrocarbons</w:t>
            </w:r>
          </w:p>
        </w:tc>
        <w:tc>
          <w:tcPr>
            <w:tcW w:w="1480" w:type="dxa"/>
            <w:tcBorders>
              <w:top w:val="nil"/>
              <w:left w:val="nil"/>
              <w:bottom w:val="nil"/>
              <w:right w:val="nil"/>
            </w:tcBorders>
            <w:shd w:val="clear" w:color="auto" w:fill="auto"/>
            <w:noWrap/>
          </w:tcPr>
          <w:p w14:paraId="0612D35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9.31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(6.34 to 12.70)</w:t>
            </w:r>
          </w:p>
        </w:tc>
        <w:tc>
          <w:tcPr>
            <w:tcW w:w="1591" w:type="dxa"/>
            <w:tcBorders>
              <w:top w:val="nil"/>
              <w:left w:val="nil"/>
              <w:bottom w:val="nil"/>
              <w:right w:val="nil"/>
            </w:tcBorders>
            <w:shd w:val="clear" w:color="auto" w:fill="auto"/>
            <w:noWrap/>
          </w:tcPr>
          <w:p w14:paraId="1B416E1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118.35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(70.13 to 181.37)</w:t>
            </w:r>
          </w:p>
        </w:tc>
        <w:tc>
          <w:tcPr>
            <w:tcW w:w="1369" w:type="dxa"/>
            <w:tcBorders>
              <w:top w:val="nil"/>
              <w:left w:val="nil"/>
              <w:bottom w:val="nil"/>
              <w:right w:val="nil"/>
            </w:tcBorders>
            <w:shd w:val="clear" w:color="auto" w:fill="auto"/>
            <w:noWrap/>
          </w:tcPr>
          <w:p w14:paraId="382953E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(0.44 to 0.46)</w:t>
            </w:r>
          </w:p>
        </w:tc>
        <w:tc>
          <w:tcPr>
            <w:tcW w:w="1480" w:type="dxa"/>
            <w:tcBorders>
              <w:top w:val="nil"/>
              <w:left w:val="nil"/>
              <w:bottom w:val="nil"/>
              <w:right w:val="nil"/>
            </w:tcBorders>
            <w:shd w:val="clear" w:color="auto" w:fill="auto"/>
            <w:noWrap/>
          </w:tcPr>
          <w:p w14:paraId="2483AB5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0.39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(0.16 to 0.61)</w:t>
            </w:r>
          </w:p>
        </w:tc>
        <w:tc>
          <w:tcPr>
            <w:tcW w:w="1480" w:type="dxa"/>
            <w:tcBorders>
              <w:top w:val="nil"/>
              <w:left w:val="nil"/>
              <w:bottom w:val="nil"/>
              <w:right w:val="nil"/>
            </w:tcBorders>
            <w:shd w:val="clear" w:color="auto" w:fill="auto"/>
            <w:noWrap/>
          </w:tcPr>
          <w:p w14:paraId="6A500E5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0.20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(0.13 to 0.28)</w:t>
            </w:r>
          </w:p>
        </w:tc>
        <w:tc>
          <w:tcPr>
            <w:tcW w:w="1480" w:type="dxa"/>
            <w:tcBorders>
              <w:top w:val="nil"/>
              <w:left w:val="nil"/>
              <w:bottom w:val="nil"/>
              <w:right w:val="nil"/>
            </w:tcBorders>
            <w:shd w:val="clear" w:color="auto" w:fill="auto"/>
            <w:noWrap/>
          </w:tcPr>
          <w:p w14:paraId="1C42866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124.69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(74.61 to 189.26)</w:t>
            </w:r>
          </w:p>
        </w:tc>
        <w:tc>
          <w:tcPr>
            <w:tcW w:w="1565" w:type="dxa"/>
            <w:tcBorders>
              <w:top w:val="nil"/>
              <w:left w:val="nil"/>
              <w:bottom w:val="nil"/>
              <w:right w:val="nil"/>
            </w:tcBorders>
            <w:shd w:val="clear" w:color="auto" w:fill="auto"/>
            <w:noWrap/>
          </w:tcPr>
          <w:p w14:paraId="3F2C029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(0.01 to 0.01)</w:t>
            </w:r>
          </w:p>
        </w:tc>
        <w:tc>
          <w:tcPr>
            <w:tcW w:w="1488" w:type="dxa"/>
            <w:tcBorders>
              <w:top w:val="nil"/>
              <w:left w:val="nil"/>
              <w:bottom w:val="nil"/>
              <w:right w:val="nil"/>
            </w:tcBorders>
            <w:shd w:val="clear" w:color="auto" w:fill="auto"/>
            <w:noWrap/>
          </w:tcPr>
          <w:p w14:paraId="166CA337">
            <w:pPr>
              <w:jc w:val="center"/>
              <w:rPr>
                <w:rFonts w:ascii="Times New Roman" w:hAnsi="Times New Roman" w:cs="Times New Roman"/>
                <w:color w:val="000000"/>
                <w:sz w:val="20"/>
                <w:szCs w:val="20"/>
              </w:rPr>
            </w:pPr>
          </w:p>
        </w:tc>
      </w:tr>
      <w:tr w14:paraId="61C2BE1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E33735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16DD6E2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silica</w:t>
            </w:r>
          </w:p>
        </w:tc>
        <w:tc>
          <w:tcPr>
            <w:tcW w:w="1480" w:type="dxa"/>
            <w:tcBorders>
              <w:top w:val="nil"/>
              <w:left w:val="nil"/>
              <w:bottom w:val="nil"/>
              <w:right w:val="nil"/>
            </w:tcBorders>
            <w:shd w:val="clear" w:color="auto" w:fill="auto"/>
            <w:noWrap/>
          </w:tcPr>
          <w:p w14:paraId="47D7D75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57.92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(28.06 to 90.57)</w:t>
            </w:r>
          </w:p>
        </w:tc>
        <w:tc>
          <w:tcPr>
            <w:tcW w:w="1591" w:type="dxa"/>
            <w:tcBorders>
              <w:top w:val="nil"/>
              <w:left w:val="nil"/>
              <w:bottom w:val="nil"/>
              <w:right w:val="nil"/>
            </w:tcBorders>
            <w:shd w:val="clear" w:color="auto" w:fill="auto"/>
            <w:noWrap/>
          </w:tcPr>
          <w:p w14:paraId="3E6DD4A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41.24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(14.07 to 78.18)</w:t>
            </w:r>
          </w:p>
        </w:tc>
        <w:tc>
          <w:tcPr>
            <w:tcW w:w="1369" w:type="dxa"/>
            <w:tcBorders>
              <w:top w:val="nil"/>
              <w:left w:val="nil"/>
              <w:bottom w:val="nil"/>
              <w:right w:val="nil"/>
            </w:tcBorders>
            <w:shd w:val="clear" w:color="auto" w:fill="auto"/>
            <w:noWrap/>
          </w:tcPr>
          <w:p w14:paraId="16845B5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2.81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(2.79 to 2.84)</w:t>
            </w:r>
          </w:p>
        </w:tc>
        <w:tc>
          <w:tcPr>
            <w:tcW w:w="1480" w:type="dxa"/>
            <w:tcBorders>
              <w:top w:val="nil"/>
              <w:left w:val="nil"/>
              <w:bottom w:val="nil"/>
              <w:right w:val="nil"/>
            </w:tcBorders>
            <w:shd w:val="clear" w:color="auto" w:fill="auto"/>
            <w:noWrap/>
          </w:tcPr>
          <w:p w14:paraId="6EB113C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(-1.26 to -0.86)</w:t>
            </w:r>
          </w:p>
        </w:tc>
        <w:tc>
          <w:tcPr>
            <w:tcW w:w="1480" w:type="dxa"/>
            <w:tcBorders>
              <w:top w:val="nil"/>
              <w:left w:val="nil"/>
              <w:bottom w:val="nil"/>
              <w:right w:val="nil"/>
            </w:tcBorders>
            <w:shd w:val="clear" w:color="auto" w:fill="auto"/>
            <w:noWrap/>
          </w:tcPr>
          <w:p w14:paraId="1A50F78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(0.57 to 1.92)</w:t>
            </w:r>
          </w:p>
        </w:tc>
        <w:tc>
          <w:tcPr>
            <w:tcW w:w="1480" w:type="dxa"/>
            <w:tcBorders>
              <w:top w:val="nil"/>
              <w:left w:val="nil"/>
              <w:bottom w:val="nil"/>
              <w:right w:val="nil"/>
            </w:tcBorders>
            <w:shd w:val="clear" w:color="auto" w:fill="auto"/>
            <w:noWrap/>
          </w:tcPr>
          <w:p w14:paraId="2F3523C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45.55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(17.31 to 83.85)</w:t>
            </w:r>
          </w:p>
        </w:tc>
        <w:tc>
          <w:tcPr>
            <w:tcW w:w="1565" w:type="dxa"/>
            <w:tcBorders>
              <w:top w:val="nil"/>
              <w:left w:val="nil"/>
              <w:bottom w:val="nil"/>
              <w:right w:val="nil"/>
            </w:tcBorders>
            <w:shd w:val="clear" w:color="auto" w:fill="auto"/>
            <w:noWrap/>
          </w:tcPr>
          <w:p w14:paraId="24AB51E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(0.06 to 0.06)</w:t>
            </w:r>
          </w:p>
        </w:tc>
        <w:tc>
          <w:tcPr>
            <w:tcW w:w="1488" w:type="dxa"/>
            <w:tcBorders>
              <w:top w:val="nil"/>
              <w:left w:val="nil"/>
              <w:bottom w:val="nil"/>
              <w:right w:val="nil"/>
            </w:tcBorders>
            <w:shd w:val="clear" w:color="auto" w:fill="auto"/>
            <w:noWrap/>
          </w:tcPr>
          <w:p w14:paraId="5B72E4D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(-1.31 to -0.92)</w:t>
            </w:r>
          </w:p>
        </w:tc>
      </w:tr>
      <w:tr w14:paraId="416D8DA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0704317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46EB187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sulfuric acid</w:t>
            </w:r>
          </w:p>
        </w:tc>
        <w:tc>
          <w:tcPr>
            <w:tcW w:w="1480" w:type="dxa"/>
            <w:tcBorders>
              <w:top w:val="nil"/>
              <w:left w:val="nil"/>
              <w:bottom w:val="nil"/>
              <w:right w:val="nil"/>
            </w:tcBorders>
            <w:shd w:val="clear" w:color="auto" w:fill="auto"/>
            <w:noWrap/>
          </w:tcPr>
          <w:p w14:paraId="4415A24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2.74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(1.12 to 5.10)</w:t>
            </w:r>
          </w:p>
        </w:tc>
        <w:tc>
          <w:tcPr>
            <w:tcW w:w="1591" w:type="dxa"/>
            <w:tcBorders>
              <w:top w:val="nil"/>
              <w:left w:val="nil"/>
              <w:bottom w:val="nil"/>
              <w:right w:val="nil"/>
            </w:tcBorders>
            <w:shd w:val="clear" w:color="auto" w:fill="auto"/>
            <w:noWrap/>
          </w:tcPr>
          <w:p w14:paraId="0D0082D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39.44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(8.75 to 118.27)</w:t>
            </w:r>
          </w:p>
        </w:tc>
        <w:tc>
          <w:tcPr>
            <w:tcW w:w="1369" w:type="dxa"/>
            <w:tcBorders>
              <w:top w:val="nil"/>
              <w:left w:val="nil"/>
              <w:bottom w:val="nil"/>
              <w:right w:val="nil"/>
            </w:tcBorders>
            <w:shd w:val="clear" w:color="auto" w:fill="auto"/>
            <w:noWrap/>
          </w:tcPr>
          <w:p w14:paraId="67A78F2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0.13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(0.13 to 0.14)</w:t>
            </w:r>
          </w:p>
        </w:tc>
        <w:tc>
          <w:tcPr>
            <w:tcW w:w="1480" w:type="dxa"/>
            <w:tcBorders>
              <w:top w:val="nil"/>
              <w:left w:val="nil"/>
              <w:bottom w:val="nil"/>
              <w:right w:val="nil"/>
            </w:tcBorders>
            <w:shd w:val="clear" w:color="auto" w:fill="auto"/>
            <w:noWrap/>
          </w:tcPr>
          <w:p w14:paraId="222A9A7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(-1.21 to -1.02)</w:t>
            </w:r>
          </w:p>
        </w:tc>
        <w:tc>
          <w:tcPr>
            <w:tcW w:w="1480" w:type="dxa"/>
            <w:tcBorders>
              <w:top w:val="nil"/>
              <w:left w:val="nil"/>
              <w:bottom w:val="nil"/>
              <w:right w:val="nil"/>
            </w:tcBorders>
            <w:shd w:val="clear" w:color="auto" w:fill="auto"/>
            <w:noWrap/>
          </w:tcPr>
          <w:p w14:paraId="57757B6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(0.02 to 0.11)</w:t>
            </w:r>
          </w:p>
        </w:tc>
        <w:tc>
          <w:tcPr>
            <w:tcW w:w="1480" w:type="dxa"/>
            <w:tcBorders>
              <w:top w:val="nil"/>
              <w:left w:val="nil"/>
              <w:bottom w:val="nil"/>
              <w:right w:val="nil"/>
            </w:tcBorders>
            <w:shd w:val="clear" w:color="auto" w:fill="auto"/>
            <w:noWrap/>
          </w:tcPr>
          <w:p w14:paraId="510C485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40.41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(9.88 to 118.49)</w:t>
            </w:r>
          </w:p>
        </w:tc>
        <w:tc>
          <w:tcPr>
            <w:tcW w:w="1565" w:type="dxa"/>
            <w:tcBorders>
              <w:top w:val="nil"/>
              <w:left w:val="nil"/>
              <w:bottom w:val="nil"/>
              <w:right w:val="nil"/>
            </w:tcBorders>
            <w:shd w:val="clear" w:color="auto" w:fill="auto"/>
            <w:noWrap/>
          </w:tcPr>
          <w:p w14:paraId="5F40A36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 to 0)</w:t>
            </w:r>
          </w:p>
        </w:tc>
        <w:tc>
          <w:tcPr>
            <w:tcW w:w="1488" w:type="dxa"/>
            <w:tcBorders>
              <w:top w:val="nil"/>
              <w:left w:val="nil"/>
              <w:bottom w:val="nil"/>
              <w:right w:val="nil"/>
            </w:tcBorders>
            <w:shd w:val="clear" w:color="auto" w:fill="auto"/>
            <w:noWrap/>
          </w:tcPr>
          <w:p w14:paraId="4DC95FD0">
            <w:pPr>
              <w:jc w:val="center"/>
              <w:rPr>
                <w:rFonts w:ascii="Times New Roman" w:hAnsi="Times New Roman" w:cs="Times New Roman"/>
                <w:color w:val="000000"/>
                <w:sz w:val="20"/>
                <w:szCs w:val="20"/>
              </w:rPr>
            </w:pPr>
          </w:p>
        </w:tc>
      </w:tr>
      <w:tr w14:paraId="1283531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22DFE00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01A2A51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exposure to trichloroethylene</w:t>
            </w:r>
          </w:p>
        </w:tc>
        <w:tc>
          <w:tcPr>
            <w:tcW w:w="1480" w:type="dxa"/>
            <w:tcBorders>
              <w:top w:val="nil"/>
              <w:left w:val="nil"/>
              <w:bottom w:val="nil"/>
              <w:right w:val="nil"/>
            </w:tcBorders>
            <w:shd w:val="clear" w:color="auto" w:fill="auto"/>
            <w:noWrap/>
          </w:tcPr>
          <w:p w14:paraId="57A44BC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0.14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(0.03 to 0.26)</w:t>
            </w:r>
          </w:p>
        </w:tc>
        <w:tc>
          <w:tcPr>
            <w:tcW w:w="1591" w:type="dxa"/>
            <w:tcBorders>
              <w:top w:val="nil"/>
              <w:left w:val="nil"/>
              <w:bottom w:val="nil"/>
              <w:right w:val="nil"/>
            </w:tcBorders>
            <w:shd w:val="clear" w:color="auto" w:fill="auto"/>
            <w:noWrap/>
          </w:tcPr>
          <w:p w14:paraId="54FCFF9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136.85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(99.03 to 175.27)</w:t>
            </w:r>
          </w:p>
        </w:tc>
        <w:tc>
          <w:tcPr>
            <w:tcW w:w="1369" w:type="dxa"/>
            <w:tcBorders>
              <w:top w:val="nil"/>
              <w:left w:val="nil"/>
              <w:bottom w:val="nil"/>
              <w:right w:val="nil"/>
            </w:tcBorders>
            <w:shd w:val="clear" w:color="auto" w:fill="auto"/>
            <w:noWrap/>
          </w:tcPr>
          <w:p w14:paraId="08E7374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(0.01 to 0.01)</w:t>
            </w:r>
          </w:p>
        </w:tc>
        <w:tc>
          <w:tcPr>
            <w:tcW w:w="1480" w:type="dxa"/>
            <w:tcBorders>
              <w:top w:val="nil"/>
              <w:left w:val="nil"/>
              <w:bottom w:val="nil"/>
              <w:right w:val="nil"/>
            </w:tcBorders>
            <w:shd w:val="clear" w:color="auto" w:fill="auto"/>
            <w:noWrap/>
          </w:tcPr>
          <w:p w14:paraId="29406155">
            <w:pPr>
              <w:jc w:val="center"/>
              <w:rPr>
                <w:rFonts w:ascii="Times New Roman" w:hAnsi="Times New Roman" w:cs="Times New Roman"/>
                <w:color w:val="000000"/>
                <w:sz w:val="20"/>
                <w:szCs w:val="20"/>
              </w:rPr>
            </w:pPr>
          </w:p>
        </w:tc>
        <w:tc>
          <w:tcPr>
            <w:tcW w:w="1480" w:type="dxa"/>
            <w:tcBorders>
              <w:top w:val="nil"/>
              <w:left w:val="nil"/>
              <w:bottom w:val="nil"/>
              <w:right w:val="nil"/>
            </w:tcBorders>
            <w:shd w:val="clear" w:color="auto" w:fill="auto"/>
            <w:noWrap/>
          </w:tcPr>
          <w:p w14:paraId="25E2B8B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(0.00 to 0.01)</w:t>
            </w:r>
          </w:p>
        </w:tc>
        <w:tc>
          <w:tcPr>
            <w:tcW w:w="1480" w:type="dxa"/>
            <w:tcBorders>
              <w:top w:val="nil"/>
              <w:left w:val="nil"/>
              <w:bottom w:val="nil"/>
              <w:right w:val="nil"/>
            </w:tcBorders>
            <w:shd w:val="clear" w:color="auto" w:fill="auto"/>
            <w:noWrap/>
          </w:tcPr>
          <w:p w14:paraId="05D63A1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137.75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(100.83 to 175.85)</w:t>
            </w:r>
          </w:p>
        </w:tc>
        <w:tc>
          <w:tcPr>
            <w:tcW w:w="1565" w:type="dxa"/>
            <w:tcBorders>
              <w:top w:val="nil"/>
              <w:left w:val="nil"/>
              <w:bottom w:val="nil"/>
              <w:right w:val="nil"/>
            </w:tcBorders>
            <w:shd w:val="clear" w:color="auto" w:fill="auto"/>
            <w:noWrap/>
          </w:tcPr>
          <w:p w14:paraId="067EB7B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 to 0)</w:t>
            </w:r>
          </w:p>
        </w:tc>
        <w:tc>
          <w:tcPr>
            <w:tcW w:w="1488" w:type="dxa"/>
            <w:tcBorders>
              <w:top w:val="nil"/>
              <w:left w:val="nil"/>
              <w:bottom w:val="nil"/>
              <w:right w:val="nil"/>
            </w:tcBorders>
            <w:shd w:val="clear" w:color="auto" w:fill="auto"/>
            <w:noWrap/>
          </w:tcPr>
          <w:p w14:paraId="465A5533">
            <w:pPr>
              <w:jc w:val="center"/>
              <w:rPr>
                <w:rFonts w:ascii="Times New Roman" w:hAnsi="Times New Roman" w:cs="Times New Roman"/>
                <w:color w:val="000000"/>
                <w:sz w:val="20"/>
                <w:szCs w:val="20"/>
              </w:rPr>
            </w:pPr>
          </w:p>
        </w:tc>
      </w:tr>
      <w:tr w14:paraId="7C009DE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5317000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3468FD9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asthmagens</w:t>
            </w:r>
          </w:p>
        </w:tc>
        <w:tc>
          <w:tcPr>
            <w:tcW w:w="1480" w:type="dxa"/>
            <w:tcBorders>
              <w:top w:val="nil"/>
              <w:left w:val="nil"/>
              <w:bottom w:val="nil"/>
              <w:right w:val="nil"/>
            </w:tcBorders>
            <w:shd w:val="clear" w:color="auto" w:fill="auto"/>
            <w:noWrap/>
          </w:tcPr>
          <w:p w14:paraId="3AD6272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373.92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(273.57 to 491.81)</w:t>
            </w:r>
          </w:p>
        </w:tc>
        <w:tc>
          <w:tcPr>
            <w:tcW w:w="1591" w:type="dxa"/>
            <w:tcBorders>
              <w:top w:val="nil"/>
              <w:left w:val="nil"/>
              <w:bottom w:val="nil"/>
              <w:right w:val="nil"/>
            </w:tcBorders>
            <w:shd w:val="clear" w:color="auto" w:fill="auto"/>
            <w:noWrap/>
          </w:tcPr>
          <w:p w14:paraId="44AA03E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4.95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(-7.16 to 28.08)</w:t>
            </w:r>
          </w:p>
        </w:tc>
        <w:tc>
          <w:tcPr>
            <w:tcW w:w="1369" w:type="dxa"/>
            <w:tcBorders>
              <w:top w:val="nil"/>
              <w:left w:val="nil"/>
              <w:bottom w:val="nil"/>
              <w:right w:val="nil"/>
            </w:tcBorders>
            <w:shd w:val="clear" w:color="auto" w:fill="auto"/>
            <w:noWrap/>
          </w:tcPr>
          <w:p w14:paraId="49656A5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18.87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(18.81 to 18.93)</w:t>
            </w:r>
          </w:p>
        </w:tc>
        <w:tc>
          <w:tcPr>
            <w:tcW w:w="1480" w:type="dxa"/>
            <w:tcBorders>
              <w:top w:val="nil"/>
              <w:left w:val="nil"/>
              <w:bottom w:val="nil"/>
              <w:right w:val="nil"/>
            </w:tcBorders>
            <w:shd w:val="clear" w:color="auto" w:fill="auto"/>
            <w:noWrap/>
          </w:tcPr>
          <w:p w14:paraId="52AE9F1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(-1.56 to -1.4)</w:t>
            </w:r>
          </w:p>
        </w:tc>
        <w:tc>
          <w:tcPr>
            <w:tcW w:w="1480" w:type="dxa"/>
            <w:tcBorders>
              <w:top w:val="nil"/>
              <w:left w:val="nil"/>
              <w:bottom w:val="nil"/>
              <w:right w:val="nil"/>
            </w:tcBorders>
            <w:shd w:val="clear" w:color="auto" w:fill="auto"/>
            <w:noWrap/>
          </w:tcPr>
          <w:p w14:paraId="101A3AB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2.99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(2.19 to 4.16)</w:t>
            </w:r>
          </w:p>
        </w:tc>
        <w:tc>
          <w:tcPr>
            <w:tcW w:w="1480" w:type="dxa"/>
            <w:tcBorders>
              <w:top w:val="nil"/>
              <w:left w:val="nil"/>
              <w:bottom w:val="nil"/>
              <w:right w:val="nil"/>
            </w:tcBorders>
            <w:shd w:val="clear" w:color="auto" w:fill="auto"/>
            <w:noWrap/>
          </w:tcPr>
          <w:p w14:paraId="594BD7B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10.46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(-13.42 to 65.06)</w:t>
            </w:r>
          </w:p>
        </w:tc>
        <w:tc>
          <w:tcPr>
            <w:tcW w:w="1565" w:type="dxa"/>
            <w:tcBorders>
              <w:top w:val="nil"/>
              <w:left w:val="nil"/>
              <w:bottom w:val="nil"/>
              <w:right w:val="nil"/>
            </w:tcBorders>
            <w:shd w:val="clear" w:color="auto" w:fill="auto"/>
            <w:noWrap/>
          </w:tcPr>
          <w:p w14:paraId="4D9EB79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0.15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(0.14 to 0.15)</w:t>
            </w:r>
          </w:p>
        </w:tc>
        <w:tc>
          <w:tcPr>
            <w:tcW w:w="1488" w:type="dxa"/>
            <w:tcBorders>
              <w:top w:val="nil"/>
              <w:left w:val="nil"/>
              <w:bottom w:val="nil"/>
              <w:right w:val="nil"/>
            </w:tcBorders>
            <w:shd w:val="clear" w:color="auto" w:fill="auto"/>
            <w:noWrap/>
          </w:tcPr>
          <w:p w14:paraId="5CF69D6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(-1.72 to -1.47)</w:t>
            </w:r>
          </w:p>
        </w:tc>
      </w:tr>
      <w:tr w14:paraId="0040508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EB696F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7DC93DF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particulate matter, gases, and fumes</w:t>
            </w:r>
          </w:p>
        </w:tc>
        <w:tc>
          <w:tcPr>
            <w:tcW w:w="1480" w:type="dxa"/>
            <w:tcBorders>
              <w:top w:val="nil"/>
              <w:left w:val="nil"/>
              <w:bottom w:val="nil"/>
              <w:right w:val="nil"/>
            </w:tcBorders>
            <w:shd w:val="clear" w:color="auto" w:fill="auto"/>
            <w:noWrap/>
          </w:tcPr>
          <w:p w14:paraId="2C5A2EB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206.15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(148.16 to 278.89)</w:t>
            </w:r>
          </w:p>
        </w:tc>
        <w:tc>
          <w:tcPr>
            <w:tcW w:w="1591" w:type="dxa"/>
            <w:tcBorders>
              <w:top w:val="nil"/>
              <w:left w:val="nil"/>
              <w:bottom w:val="nil"/>
              <w:right w:val="nil"/>
            </w:tcBorders>
            <w:shd w:val="clear" w:color="auto" w:fill="auto"/>
            <w:noWrap/>
          </w:tcPr>
          <w:p w14:paraId="1ABE757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-14.32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(-28.20 to 10.50)</w:t>
            </w:r>
          </w:p>
        </w:tc>
        <w:tc>
          <w:tcPr>
            <w:tcW w:w="1369" w:type="dxa"/>
            <w:tcBorders>
              <w:top w:val="nil"/>
              <w:left w:val="nil"/>
              <w:bottom w:val="nil"/>
              <w:right w:val="nil"/>
            </w:tcBorders>
            <w:shd w:val="clear" w:color="auto" w:fill="auto"/>
            <w:noWrap/>
          </w:tcPr>
          <w:p w14:paraId="17AC904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10.14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(10.1 to 10.19)</w:t>
            </w:r>
          </w:p>
        </w:tc>
        <w:tc>
          <w:tcPr>
            <w:tcW w:w="1480" w:type="dxa"/>
            <w:tcBorders>
              <w:top w:val="nil"/>
              <w:left w:val="nil"/>
              <w:bottom w:val="nil"/>
              <w:right w:val="nil"/>
            </w:tcBorders>
            <w:shd w:val="clear" w:color="auto" w:fill="auto"/>
            <w:noWrap/>
          </w:tcPr>
          <w:p w14:paraId="5226A81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-2.54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(-2.63 to -2.46)</w:t>
            </w:r>
          </w:p>
        </w:tc>
        <w:tc>
          <w:tcPr>
            <w:tcW w:w="1480" w:type="dxa"/>
            <w:tcBorders>
              <w:top w:val="nil"/>
              <w:left w:val="nil"/>
              <w:bottom w:val="nil"/>
              <w:right w:val="nil"/>
            </w:tcBorders>
            <w:shd w:val="clear" w:color="auto" w:fill="auto"/>
            <w:noWrap/>
          </w:tcPr>
          <w:p w14:paraId="300A4C3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(1.36 to 2.90)</w:t>
            </w:r>
          </w:p>
        </w:tc>
        <w:tc>
          <w:tcPr>
            <w:tcW w:w="1480" w:type="dxa"/>
            <w:tcBorders>
              <w:top w:val="nil"/>
              <w:left w:val="nil"/>
              <w:bottom w:val="nil"/>
              <w:right w:val="nil"/>
            </w:tcBorders>
            <w:shd w:val="clear" w:color="auto" w:fill="auto"/>
            <w:noWrap/>
          </w:tcPr>
          <w:p w14:paraId="161AFB7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-39.78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(-53.97 to -8.34)</w:t>
            </w:r>
          </w:p>
        </w:tc>
        <w:tc>
          <w:tcPr>
            <w:tcW w:w="1565" w:type="dxa"/>
            <w:tcBorders>
              <w:top w:val="nil"/>
              <w:left w:val="nil"/>
              <w:bottom w:val="nil"/>
              <w:right w:val="nil"/>
            </w:tcBorders>
            <w:shd w:val="clear" w:color="auto" w:fill="auto"/>
            <w:noWrap/>
          </w:tcPr>
          <w:p w14:paraId="242D555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 to 0.1)</w:t>
            </w:r>
          </w:p>
        </w:tc>
        <w:tc>
          <w:tcPr>
            <w:tcW w:w="1488" w:type="dxa"/>
            <w:tcBorders>
              <w:top w:val="nil"/>
              <w:left w:val="nil"/>
              <w:bottom w:val="nil"/>
              <w:right w:val="nil"/>
            </w:tcBorders>
            <w:shd w:val="clear" w:color="auto" w:fill="auto"/>
            <w:noWrap/>
          </w:tcPr>
          <w:p w14:paraId="7A2F363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-3.94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(-4.1 to -3.77)</w:t>
            </w:r>
          </w:p>
        </w:tc>
      </w:tr>
      <w:tr w14:paraId="4A04C8C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E5EDFE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58C080F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noise</w:t>
            </w:r>
          </w:p>
        </w:tc>
        <w:tc>
          <w:tcPr>
            <w:tcW w:w="1480" w:type="dxa"/>
            <w:tcBorders>
              <w:top w:val="nil"/>
              <w:left w:val="nil"/>
              <w:bottom w:val="nil"/>
              <w:right w:val="nil"/>
            </w:tcBorders>
            <w:shd w:val="clear" w:color="auto" w:fill="auto"/>
            <w:noWrap/>
          </w:tcPr>
          <w:p w14:paraId="6C20D9C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1,155.14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(767.43 to 1,640.71)</w:t>
            </w:r>
          </w:p>
        </w:tc>
        <w:tc>
          <w:tcPr>
            <w:tcW w:w="1591" w:type="dxa"/>
            <w:tcBorders>
              <w:top w:val="nil"/>
              <w:left w:val="nil"/>
              <w:bottom w:val="nil"/>
              <w:right w:val="nil"/>
            </w:tcBorders>
            <w:shd w:val="clear" w:color="auto" w:fill="auto"/>
            <w:noWrap/>
          </w:tcPr>
          <w:p w14:paraId="4350654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72.80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(64.44 to 80.70)</w:t>
            </w:r>
          </w:p>
        </w:tc>
        <w:tc>
          <w:tcPr>
            <w:tcW w:w="1369" w:type="dxa"/>
            <w:tcBorders>
              <w:top w:val="nil"/>
              <w:left w:val="nil"/>
              <w:bottom w:val="nil"/>
              <w:right w:val="nil"/>
            </w:tcBorders>
            <w:shd w:val="clear" w:color="auto" w:fill="auto"/>
            <w:noWrap/>
          </w:tcPr>
          <w:p w14:paraId="7E4A9D3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57.75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(57.64 to 57.85)</w:t>
            </w:r>
          </w:p>
        </w:tc>
        <w:tc>
          <w:tcPr>
            <w:tcW w:w="1480" w:type="dxa"/>
            <w:tcBorders>
              <w:top w:val="nil"/>
              <w:left w:val="nil"/>
              <w:bottom w:val="nil"/>
              <w:right w:val="nil"/>
            </w:tcBorders>
            <w:shd w:val="clear" w:color="auto" w:fill="auto"/>
            <w:noWrap/>
          </w:tcPr>
          <w:p w14:paraId="0F7E8FA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0.24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(0.17 to 0.31)</w:t>
            </w:r>
          </w:p>
        </w:tc>
        <w:tc>
          <w:tcPr>
            <w:tcW w:w="1480" w:type="dxa"/>
            <w:tcBorders>
              <w:top w:val="nil"/>
              <w:left w:val="nil"/>
              <w:bottom w:val="nil"/>
              <w:right w:val="nil"/>
            </w:tcBorders>
            <w:shd w:val="clear" w:color="auto" w:fill="auto"/>
            <w:noWrap/>
          </w:tcPr>
          <w:p w14:paraId="05594AD7">
            <w:pPr>
              <w:jc w:val="center"/>
              <w:rPr>
                <w:rFonts w:ascii="Times New Roman" w:hAnsi="Times New Roman" w:cs="Times New Roman"/>
                <w:color w:val="000000"/>
                <w:sz w:val="20"/>
                <w:szCs w:val="20"/>
              </w:rPr>
            </w:pPr>
          </w:p>
        </w:tc>
        <w:tc>
          <w:tcPr>
            <w:tcW w:w="1480" w:type="dxa"/>
            <w:tcBorders>
              <w:top w:val="nil"/>
              <w:left w:val="nil"/>
              <w:bottom w:val="nil"/>
              <w:right w:val="nil"/>
            </w:tcBorders>
            <w:shd w:val="clear" w:color="auto" w:fill="auto"/>
            <w:noWrap/>
          </w:tcPr>
          <w:p w14:paraId="4D98DFCA">
            <w:pPr>
              <w:jc w:val="center"/>
              <w:rPr>
                <w:rFonts w:ascii="Times New Roman" w:hAnsi="Times New Roman" w:cs="Times New Roman"/>
                <w:color w:val="000000"/>
                <w:sz w:val="20"/>
                <w:szCs w:val="20"/>
              </w:rPr>
            </w:pPr>
          </w:p>
        </w:tc>
        <w:tc>
          <w:tcPr>
            <w:tcW w:w="1565" w:type="dxa"/>
            <w:tcBorders>
              <w:top w:val="nil"/>
              <w:left w:val="nil"/>
              <w:bottom w:val="nil"/>
              <w:right w:val="nil"/>
            </w:tcBorders>
            <w:shd w:val="clear" w:color="auto" w:fill="auto"/>
            <w:noWrap/>
          </w:tcPr>
          <w:p w14:paraId="7CCE1F5F">
            <w:pPr>
              <w:jc w:val="center"/>
              <w:rPr>
                <w:rFonts w:ascii="Times New Roman" w:hAnsi="Times New Roman" w:cs="Times New Roman"/>
                <w:color w:val="000000"/>
                <w:sz w:val="20"/>
                <w:szCs w:val="20"/>
              </w:rPr>
            </w:pPr>
          </w:p>
        </w:tc>
        <w:tc>
          <w:tcPr>
            <w:tcW w:w="1488" w:type="dxa"/>
            <w:tcBorders>
              <w:top w:val="nil"/>
              <w:left w:val="nil"/>
              <w:bottom w:val="nil"/>
              <w:right w:val="nil"/>
            </w:tcBorders>
            <w:shd w:val="clear" w:color="auto" w:fill="auto"/>
            <w:noWrap/>
          </w:tcPr>
          <w:p w14:paraId="0A967B4C">
            <w:pPr>
              <w:jc w:val="center"/>
              <w:rPr>
                <w:rFonts w:ascii="Times New Roman" w:hAnsi="Times New Roman" w:cs="Times New Roman"/>
                <w:color w:val="000000"/>
                <w:sz w:val="20"/>
                <w:szCs w:val="20"/>
              </w:rPr>
            </w:pPr>
          </w:p>
        </w:tc>
      </w:tr>
      <w:tr w14:paraId="4EF7E5B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497870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3423363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injuries</w:t>
            </w:r>
          </w:p>
        </w:tc>
        <w:tc>
          <w:tcPr>
            <w:tcW w:w="1480" w:type="dxa"/>
            <w:tcBorders>
              <w:top w:val="nil"/>
              <w:left w:val="nil"/>
              <w:bottom w:val="nil"/>
              <w:right w:val="nil"/>
            </w:tcBorders>
            <w:shd w:val="clear" w:color="auto" w:fill="auto"/>
            <w:noWrap/>
          </w:tcPr>
          <w:p w14:paraId="45E3915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3,400.13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(2,915.38 to 3,923.68)</w:t>
            </w:r>
          </w:p>
        </w:tc>
        <w:tc>
          <w:tcPr>
            <w:tcW w:w="1591" w:type="dxa"/>
            <w:tcBorders>
              <w:top w:val="nil"/>
              <w:left w:val="nil"/>
              <w:bottom w:val="nil"/>
              <w:right w:val="nil"/>
            </w:tcBorders>
            <w:shd w:val="clear" w:color="auto" w:fill="auto"/>
            <w:noWrap/>
          </w:tcPr>
          <w:p w14:paraId="464B29F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-35.06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(-42.77 to -27.23)</w:t>
            </w:r>
          </w:p>
        </w:tc>
        <w:tc>
          <w:tcPr>
            <w:tcW w:w="1369" w:type="dxa"/>
            <w:tcBorders>
              <w:top w:val="nil"/>
              <w:left w:val="nil"/>
              <w:bottom w:val="nil"/>
              <w:right w:val="nil"/>
            </w:tcBorders>
            <w:shd w:val="clear" w:color="auto" w:fill="auto"/>
            <w:noWrap/>
          </w:tcPr>
          <w:p w14:paraId="4C94E80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172.97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(172.79 to 173.15)</w:t>
            </w:r>
          </w:p>
        </w:tc>
        <w:tc>
          <w:tcPr>
            <w:tcW w:w="1480" w:type="dxa"/>
            <w:tcBorders>
              <w:top w:val="nil"/>
              <w:left w:val="nil"/>
              <w:bottom w:val="nil"/>
              <w:right w:val="nil"/>
            </w:tcBorders>
            <w:shd w:val="clear" w:color="auto" w:fill="auto"/>
            <w:noWrap/>
          </w:tcPr>
          <w:p w14:paraId="079545F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-2.94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(-3.06 to -2.81)</w:t>
            </w:r>
          </w:p>
        </w:tc>
        <w:tc>
          <w:tcPr>
            <w:tcW w:w="1480" w:type="dxa"/>
            <w:tcBorders>
              <w:top w:val="nil"/>
              <w:left w:val="nil"/>
              <w:bottom w:val="nil"/>
              <w:right w:val="nil"/>
            </w:tcBorders>
            <w:shd w:val="clear" w:color="auto" w:fill="auto"/>
            <w:noWrap/>
          </w:tcPr>
          <w:p w14:paraId="04A9887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35.86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(33.05 to 39.06)</w:t>
            </w:r>
          </w:p>
        </w:tc>
        <w:tc>
          <w:tcPr>
            <w:tcW w:w="1480" w:type="dxa"/>
            <w:tcBorders>
              <w:top w:val="nil"/>
              <w:left w:val="nil"/>
              <w:bottom w:val="nil"/>
              <w:right w:val="nil"/>
            </w:tcBorders>
            <w:shd w:val="clear" w:color="auto" w:fill="auto"/>
            <w:noWrap/>
          </w:tcPr>
          <w:p w14:paraId="76E438F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-39.32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(-47.36 to -31.49)</w:t>
            </w:r>
          </w:p>
        </w:tc>
        <w:tc>
          <w:tcPr>
            <w:tcW w:w="1565" w:type="dxa"/>
            <w:tcBorders>
              <w:top w:val="nil"/>
              <w:left w:val="nil"/>
              <w:bottom w:val="nil"/>
              <w:right w:val="nil"/>
            </w:tcBorders>
            <w:shd w:val="clear" w:color="auto" w:fill="auto"/>
            <w:noWrap/>
          </w:tcPr>
          <w:p w14:paraId="2C6ADE8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1.82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 to 1.84)</w:t>
            </w:r>
          </w:p>
        </w:tc>
        <w:tc>
          <w:tcPr>
            <w:tcW w:w="1488" w:type="dxa"/>
            <w:tcBorders>
              <w:top w:val="nil"/>
              <w:left w:val="nil"/>
              <w:bottom w:val="nil"/>
              <w:right w:val="nil"/>
            </w:tcBorders>
            <w:shd w:val="clear" w:color="auto" w:fill="auto"/>
            <w:noWrap/>
          </w:tcPr>
          <w:p w14:paraId="1AE7F03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-3.11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(-3.29 to -2.93)</w:t>
            </w:r>
          </w:p>
        </w:tc>
      </w:tr>
      <w:tr w14:paraId="30416C4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1733A47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3339826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Occupational ergonomic factors</w:t>
            </w:r>
          </w:p>
        </w:tc>
        <w:tc>
          <w:tcPr>
            <w:tcW w:w="1480" w:type="dxa"/>
            <w:tcBorders>
              <w:top w:val="nil"/>
              <w:left w:val="nil"/>
              <w:bottom w:val="nil"/>
              <w:right w:val="nil"/>
            </w:tcBorders>
            <w:shd w:val="clear" w:color="auto" w:fill="auto"/>
            <w:noWrap/>
          </w:tcPr>
          <w:p w14:paraId="404BCDE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4,806.56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(3,309.34 to 6,508.30)</w:t>
            </w:r>
          </w:p>
        </w:tc>
        <w:tc>
          <w:tcPr>
            <w:tcW w:w="1591" w:type="dxa"/>
            <w:tcBorders>
              <w:top w:val="nil"/>
              <w:left w:val="nil"/>
              <w:bottom w:val="nil"/>
              <w:right w:val="nil"/>
            </w:tcBorders>
            <w:shd w:val="clear" w:color="auto" w:fill="auto"/>
            <w:noWrap/>
          </w:tcPr>
          <w:p w14:paraId="3728059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29.12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(21.19 to 38.42)</w:t>
            </w:r>
          </w:p>
        </w:tc>
        <w:tc>
          <w:tcPr>
            <w:tcW w:w="1369" w:type="dxa"/>
            <w:tcBorders>
              <w:top w:val="nil"/>
              <w:left w:val="nil"/>
              <w:bottom w:val="nil"/>
              <w:right w:val="nil"/>
            </w:tcBorders>
            <w:shd w:val="clear" w:color="auto" w:fill="auto"/>
            <w:noWrap/>
          </w:tcPr>
          <w:p w14:paraId="156C564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241.06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(240.85 to 241.28)</w:t>
            </w:r>
          </w:p>
        </w:tc>
        <w:tc>
          <w:tcPr>
            <w:tcW w:w="1480" w:type="dxa"/>
            <w:tcBorders>
              <w:top w:val="nil"/>
              <w:left w:val="nil"/>
              <w:bottom w:val="nil"/>
              <w:right w:val="nil"/>
            </w:tcBorders>
            <w:shd w:val="clear" w:color="auto" w:fill="auto"/>
            <w:noWrap/>
          </w:tcPr>
          <w:p w14:paraId="7837313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-0.61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(-0.65 to -0.57)</w:t>
            </w:r>
          </w:p>
        </w:tc>
        <w:tc>
          <w:tcPr>
            <w:tcW w:w="1480" w:type="dxa"/>
            <w:tcBorders>
              <w:top w:val="nil"/>
              <w:left w:val="nil"/>
              <w:bottom w:val="nil"/>
              <w:right w:val="nil"/>
            </w:tcBorders>
            <w:shd w:val="clear" w:color="auto" w:fill="auto"/>
            <w:noWrap/>
          </w:tcPr>
          <w:p w14:paraId="78671C9C">
            <w:pPr>
              <w:jc w:val="center"/>
              <w:rPr>
                <w:rFonts w:ascii="Times New Roman" w:hAnsi="Times New Roman" w:cs="Times New Roman"/>
                <w:color w:val="000000"/>
                <w:sz w:val="20"/>
                <w:szCs w:val="20"/>
              </w:rPr>
            </w:pPr>
          </w:p>
        </w:tc>
        <w:tc>
          <w:tcPr>
            <w:tcW w:w="1480" w:type="dxa"/>
            <w:tcBorders>
              <w:top w:val="nil"/>
              <w:left w:val="nil"/>
              <w:bottom w:val="nil"/>
              <w:right w:val="nil"/>
            </w:tcBorders>
            <w:shd w:val="clear" w:color="auto" w:fill="auto"/>
            <w:noWrap/>
          </w:tcPr>
          <w:p w14:paraId="26C17799">
            <w:pPr>
              <w:jc w:val="center"/>
              <w:rPr>
                <w:rFonts w:ascii="Times New Roman" w:hAnsi="Times New Roman" w:cs="Times New Roman"/>
                <w:color w:val="000000"/>
                <w:sz w:val="20"/>
                <w:szCs w:val="20"/>
              </w:rPr>
            </w:pPr>
          </w:p>
        </w:tc>
        <w:tc>
          <w:tcPr>
            <w:tcW w:w="1565" w:type="dxa"/>
            <w:tcBorders>
              <w:top w:val="nil"/>
              <w:left w:val="nil"/>
              <w:bottom w:val="nil"/>
              <w:right w:val="nil"/>
            </w:tcBorders>
            <w:shd w:val="clear" w:color="auto" w:fill="auto"/>
            <w:noWrap/>
          </w:tcPr>
          <w:p w14:paraId="6715E3D9">
            <w:pPr>
              <w:jc w:val="center"/>
              <w:rPr>
                <w:rFonts w:ascii="Times New Roman" w:hAnsi="Times New Roman" w:cs="Times New Roman"/>
                <w:color w:val="000000"/>
                <w:sz w:val="20"/>
                <w:szCs w:val="20"/>
              </w:rPr>
            </w:pPr>
          </w:p>
        </w:tc>
        <w:tc>
          <w:tcPr>
            <w:tcW w:w="1488" w:type="dxa"/>
            <w:tcBorders>
              <w:top w:val="nil"/>
              <w:left w:val="nil"/>
              <w:bottom w:val="nil"/>
              <w:right w:val="nil"/>
            </w:tcBorders>
            <w:shd w:val="clear" w:color="auto" w:fill="auto"/>
            <w:noWrap/>
          </w:tcPr>
          <w:p w14:paraId="4DD2EFAC">
            <w:pPr>
              <w:jc w:val="center"/>
              <w:rPr>
                <w:rFonts w:ascii="Times New Roman" w:hAnsi="Times New Roman" w:cs="Times New Roman"/>
                <w:color w:val="000000"/>
                <w:sz w:val="20"/>
                <w:szCs w:val="20"/>
              </w:rPr>
            </w:pPr>
          </w:p>
        </w:tc>
      </w:tr>
      <w:tr w14:paraId="6F92431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58E3D4F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w:t>
            </w:r>
          </w:p>
        </w:tc>
        <w:tc>
          <w:tcPr>
            <w:tcW w:w="1480" w:type="dxa"/>
            <w:tcBorders>
              <w:top w:val="nil"/>
              <w:left w:val="nil"/>
              <w:bottom w:val="nil"/>
              <w:right w:val="nil"/>
            </w:tcBorders>
            <w:shd w:val="clear" w:color="auto" w:fill="auto"/>
            <w:noWrap/>
          </w:tcPr>
          <w:p w14:paraId="376E7E5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Behavioral risks</w:t>
            </w:r>
          </w:p>
        </w:tc>
        <w:tc>
          <w:tcPr>
            <w:tcW w:w="1480" w:type="dxa"/>
            <w:tcBorders>
              <w:top w:val="nil"/>
              <w:left w:val="nil"/>
              <w:bottom w:val="nil"/>
              <w:right w:val="nil"/>
            </w:tcBorders>
            <w:shd w:val="clear" w:color="auto" w:fill="auto"/>
            <w:noWrap/>
          </w:tcPr>
          <w:p w14:paraId="24F0E12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71,219.53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(59,548.31 to 82,972.19)</w:t>
            </w:r>
          </w:p>
        </w:tc>
        <w:tc>
          <w:tcPr>
            <w:tcW w:w="1591" w:type="dxa"/>
            <w:tcBorders>
              <w:top w:val="nil"/>
              <w:left w:val="nil"/>
              <w:bottom w:val="nil"/>
              <w:right w:val="nil"/>
            </w:tcBorders>
            <w:shd w:val="clear" w:color="auto" w:fill="auto"/>
            <w:noWrap/>
          </w:tcPr>
          <w:p w14:paraId="47FAC5C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35.44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(28.63 to 42.56)</w:t>
            </w:r>
          </w:p>
        </w:tc>
        <w:tc>
          <w:tcPr>
            <w:tcW w:w="1369" w:type="dxa"/>
            <w:tcBorders>
              <w:top w:val="nil"/>
              <w:left w:val="nil"/>
              <w:bottom w:val="nil"/>
              <w:right w:val="nil"/>
            </w:tcBorders>
            <w:shd w:val="clear" w:color="auto" w:fill="auto"/>
            <w:noWrap/>
          </w:tcPr>
          <w:p w14:paraId="7A821BA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3596.83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(3596 to 3597.67)</w:t>
            </w:r>
          </w:p>
        </w:tc>
        <w:tc>
          <w:tcPr>
            <w:tcW w:w="1480" w:type="dxa"/>
            <w:tcBorders>
              <w:top w:val="nil"/>
              <w:left w:val="nil"/>
              <w:bottom w:val="nil"/>
              <w:right w:val="nil"/>
            </w:tcBorders>
            <w:shd w:val="clear" w:color="auto" w:fill="auto"/>
            <w:noWrap/>
          </w:tcPr>
          <w:p w14:paraId="6C6B2CD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-0.93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(-1.37 to -0.48)</w:t>
            </w:r>
          </w:p>
        </w:tc>
        <w:tc>
          <w:tcPr>
            <w:tcW w:w="1480" w:type="dxa"/>
            <w:tcBorders>
              <w:top w:val="nil"/>
              <w:left w:val="nil"/>
              <w:bottom w:val="nil"/>
              <w:right w:val="nil"/>
            </w:tcBorders>
            <w:shd w:val="clear" w:color="auto" w:fill="auto"/>
            <w:noWrap/>
          </w:tcPr>
          <w:p w14:paraId="66A3C18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740.16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(586.04 to 837.59)</w:t>
            </w:r>
          </w:p>
        </w:tc>
        <w:tc>
          <w:tcPr>
            <w:tcW w:w="1480" w:type="dxa"/>
            <w:tcBorders>
              <w:top w:val="nil"/>
              <w:left w:val="nil"/>
              <w:bottom w:val="nil"/>
              <w:right w:val="nil"/>
            </w:tcBorders>
            <w:shd w:val="clear" w:color="auto" w:fill="auto"/>
            <w:noWrap/>
          </w:tcPr>
          <w:p w14:paraId="3343D29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30.33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(20.03 to 41.89)</w:t>
            </w:r>
          </w:p>
        </w:tc>
        <w:tc>
          <w:tcPr>
            <w:tcW w:w="1565" w:type="dxa"/>
            <w:tcBorders>
              <w:top w:val="nil"/>
              <w:left w:val="nil"/>
              <w:bottom w:val="nil"/>
              <w:right w:val="nil"/>
            </w:tcBorders>
            <w:shd w:val="clear" w:color="auto" w:fill="auto"/>
            <w:noWrap/>
          </w:tcPr>
          <w:p w14:paraId="4BF2214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36.8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(36.72 to 36.89)</w:t>
            </w:r>
          </w:p>
        </w:tc>
        <w:tc>
          <w:tcPr>
            <w:tcW w:w="1488" w:type="dxa"/>
            <w:tcBorders>
              <w:top w:val="nil"/>
              <w:left w:val="nil"/>
              <w:bottom w:val="nil"/>
              <w:right w:val="nil"/>
            </w:tcBorders>
            <w:shd w:val="clear" w:color="auto" w:fill="auto"/>
            <w:noWrap/>
          </w:tcPr>
          <w:p w14:paraId="22F36C6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(-2.08 to -0.74)</w:t>
            </w:r>
          </w:p>
        </w:tc>
      </w:tr>
      <w:tr w14:paraId="34DAC71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5924D8D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759FAA5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Child and maternal malnutrition</w:t>
            </w:r>
          </w:p>
        </w:tc>
        <w:tc>
          <w:tcPr>
            <w:tcW w:w="1480" w:type="dxa"/>
            <w:tcBorders>
              <w:top w:val="nil"/>
              <w:left w:val="nil"/>
              <w:bottom w:val="nil"/>
              <w:right w:val="nil"/>
            </w:tcBorders>
            <w:shd w:val="clear" w:color="auto" w:fill="auto"/>
            <w:noWrap/>
          </w:tcPr>
          <w:p w14:paraId="0955A2B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17,810.34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(13,296.92 to 23,749.34)</w:t>
            </w:r>
          </w:p>
        </w:tc>
        <w:tc>
          <w:tcPr>
            <w:tcW w:w="1591" w:type="dxa"/>
            <w:tcBorders>
              <w:top w:val="nil"/>
              <w:left w:val="nil"/>
              <w:bottom w:val="nil"/>
              <w:right w:val="nil"/>
            </w:tcBorders>
            <w:shd w:val="clear" w:color="auto" w:fill="auto"/>
            <w:noWrap/>
          </w:tcPr>
          <w:p w14:paraId="355036C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14.85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(7.62 to 23.08)</w:t>
            </w:r>
          </w:p>
        </w:tc>
        <w:tc>
          <w:tcPr>
            <w:tcW w:w="1369" w:type="dxa"/>
            <w:tcBorders>
              <w:top w:val="nil"/>
              <w:left w:val="nil"/>
              <w:bottom w:val="nil"/>
              <w:right w:val="nil"/>
            </w:tcBorders>
            <w:shd w:val="clear" w:color="auto" w:fill="auto"/>
            <w:noWrap/>
          </w:tcPr>
          <w:p w14:paraId="615314A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917.65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(917.23 to 918.08)</w:t>
            </w:r>
          </w:p>
        </w:tc>
        <w:tc>
          <w:tcPr>
            <w:tcW w:w="1480" w:type="dxa"/>
            <w:tcBorders>
              <w:top w:val="nil"/>
              <w:left w:val="nil"/>
              <w:bottom w:val="nil"/>
              <w:right w:val="nil"/>
            </w:tcBorders>
            <w:shd w:val="clear" w:color="auto" w:fill="auto"/>
            <w:noWrap/>
          </w:tcPr>
          <w:p w14:paraId="4B4C8E7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-0.74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(-0.79 to -0.7)</w:t>
            </w:r>
          </w:p>
        </w:tc>
        <w:tc>
          <w:tcPr>
            <w:tcW w:w="1480" w:type="dxa"/>
            <w:tcBorders>
              <w:top w:val="nil"/>
              <w:left w:val="nil"/>
              <w:bottom w:val="nil"/>
              <w:right w:val="nil"/>
            </w:tcBorders>
            <w:shd w:val="clear" w:color="auto" w:fill="auto"/>
            <w:noWrap/>
          </w:tcPr>
          <w:p w14:paraId="5301EA0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39.28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(21.61 to 53.91)</w:t>
            </w:r>
          </w:p>
        </w:tc>
        <w:tc>
          <w:tcPr>
            <w:tcW w:w="1480" w:type="dxa"/>
            <w:tcBorders>
              <w:top w:val="nil"/>
              <w:left w:val="nil"/>
              <w:bottom w:val="nil"/>
              <w:right w:val="nil"/>
            </w:tcBorders>
            <w:shd w:val="clear" w:color="auto" w:fill="auto"/>
            <w:noWrap/>
          </w:tcPr>
          <w:p w14:paraId="0B7C125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-41.84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(-50.96 to -31.76)</w:t>
            </w:r>
          </w:p>
        </w:tc>
        <w:tc>
          <w:tcPr>
            <w:tcW w:w="1565" w:type="dxa"/>
            <w:tcBorders>
              <w:top w:val="nil"/>
              <w:left w:val="nil"/>
              <w:bottom w:val="nil"/>
              <w:right w:val="nil"/>
            </w:tcBorders>
            <w:shd w:val="clear" w:color="auto" w:fill="auto"/>
            <w:noWrap/>
          </w:tcPr>
          <w:p w14:paraId="31D880D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 to 2.04)</w:t>
            </w:r>
          </w:p>
        </w:tc>
        <w:tc>
          <w:tcPr>
            <w:tcW w:w="1488" w:type="dxa"/>
            <w:tcBorders>
              <w:top w:val="nil"/>
              <w:left w:val="nil"/>
              <w:bottom w:val="nil"/>
              <w:right w:val="nil"/>
            </w:tcBorders>
            <w:shd w:val="clear" w:color="auto" w:fill="auto"/>
            <w:noWrap/>
          </w:tcPr>
          <w:p w14:paraId="59D3FE9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-3.04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(-3.23 to -2.84)</w:t>
            </w:r>
          </w:p>
        </w:tc>
      </w:tr>
      <w:tr w14:paraId="70B0030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4813935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32086B5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Child growth failure</w:t>
            </w:r>
          </w:p>
        </w:tc>
        <w:tc>
          <w:tcPr>
            <w:tcW w:w="1480" w:type="dxa"/>
            <w:tcBorders>
              <w:top w:val="nil"/>
              <w:left w:val="nil"/>
              <w:bottom w:val="nil"/>
              <w:right w:val="nil"/>
            </w:tcBorders>
            <w:shd w:val="clear" w:color="auto" w:fill="auto"/>
            <w:noWrap/>
          </w:tcPr>
          <w:p w14:paraId="080AB05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549.97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(454.45 to 688.02)</w:t>
            </w:r>
          </w:p>
        </w:tc>
        <w:tc>
          <w:tcPr>
            <w:tcW w:w="1591" w:type="dxa"/>
            <w:tcBorders>
              <w:top w:val="nil"/>
              <w:left w:val="nil"/>
              <w:bottom w:val="nil"/>
              <w:right w:val="nil"/>
            </w:tcBorders>
            <w:shd w:val="clear" w:color="auto" w:fill="auto"/>
            <w:noWrap/>
          </w:tcPr>
          <w:p w14:paraId="1D1AC06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-23.45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(-36.93 to -9.25)</w:t>
            </w:r>
          </w:p>
        </w:tc>
        <w:tc>
          <w:tcPr>
            <w:tcW w:w="1369" w:type="dxa"/>
            <w:tcBorders>
              <w:top w:val="nil"/>
              <w:left w:val="nil"/>
              <w:bottom w:val="nil"/>
              <w:right w:val="nil"/>
            </w:tcBorders>
            <w:shd w:val="clear" w:color="auto" w:fill="auto"/>
            <w:noWrap/>
          </w:tcPr>
          <w:p w14:paraId="265348D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28.18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(28.1 to 28.25)</w:t>
            </w:r>
          </w:p>
        </w:tc>
        <w:tc>
          <w:tcPr>
            <w:tcW w:w="1480" w:type="dxa"/>
            <w:tcBorders>
              <w:top w:val="nil"/>
              <w:left w:val="nil"/>
              <w:bottom w:val="nil"/>
              <w:right w:val="nil"/>
            </w:tcBorders>
            <w:shd w:val="clear" w:color="auto" w:fill="auto"/>
            <w:noWrap/>
          </w:tcPr>
          <w:p w14:paraId="641E46C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(-2.92 to -1.65)</w:t>
            </w:r>
          </w:p>
        </w:tc>
        <w:tc>
          <w:tcPr>
            <w:tcW w:w="1480" w:type="dxa"/>
            <w:tcBorders>
              <w:top w:val="nil"/>
              <w:left w:val="nil"/>
              <w:bottom w:val="nil"/>
              <w:right w:val="nil"/>
            </w:tcBorders>
            <w:shd w:val="clear" w:color="auto" w:fill="auto"/>
            <w:noWrap/>
          </w:tcPr>
          <w:p w14:paraId="788D547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(4.83 to 6.17)</w:t>
            </w:r>
          </w:p>
        </w:tc>
        <w:tc>
          <w:tcPr>
            <w:tcW w:w="1480" w:type="dxa"/>
            <w:tcBorders>
              <w:top w:val="nil"/>
              <w:left w:val="nil"/>
              <w:bottom w:val="nil"/>
              <w:right w:val="nil"/>
            </w:tcBorders>
            <w:shd w:val="clear" w:color="auto" w:fill="auto"/>
            <w:noWrap/>
          </w:tcPr>
          <w:p w14:paraId="60EE712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-40.73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(-52.16 to -28.02)</w:t>
            </w:r>
          </w:p>
        </w:tc>
        <w:tc>
          <w:tcPr>
            <w:tcW w:w="1565" w:type="dxa"/>
            <w:tcBorders>
              <w:top w:val="nil"/>
              <w:left w:val="nil"/>
              <w:bottom w:val="nil"/>
              <w:right w:val="nil"/>
            </w:tcBorders>
            <w:shd w:val="clear" w:color="auto" w:fill="auto"/>
            <w:noWrap/>
          </w:tcPr>
          <w:p w14:paraId="3679000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(0.27 to 0.29)</w:t>
            </w:r>
          </w:p>
        </w:tc>
        <w:tc>
          <w:tcPr>
            <w:tcW w:w="1488" w:type="dxa"/>
            <w:tcBorders>
              <w:top w:val="nil"/>
              <w:left w:val="nil"/>
              <w:bottom w:val="nil"/>
              <w:right w:val="nil"/>
            </w:tcBorders>
            <w:shd w:val="clear" w:color="auto" w:fill="auto"/>
            <w:noWrap/>
          </w:tcPr>
          <w:p w14:paraId="5B01D75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(-4.27 to -2.61)</w:t>
            </w:r>
          </w:p>
        </w:tc>
      </w:tr>
      <w:tr w14:paraId="5739355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2B71AB4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42C51E1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Child underweight</w:t>
            </w:r>
          </w:p>
        </w:tc>
        <w:tc>
          <w:tcPr>
            <w:tcW w:w="1480" w:type="dxa"/>
            <w:tcBorders>
              <w:top w:val="nil"/>
              <w:left w:val="nil"/>
              <w:bottom w:val="nil"/>
              <w:right w:val="nil"/>
            </w:tcBorders>
            <w:shd w:val="clear" w:color="auto" w:fill="auto"/>
            <w:noWrap/>
          </w:tcPr>
          <w:p w14:paraId="1F20E50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549.97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(454.45 to 688.02)</w:t>
            </w:r>
          </w:p>
        </w:tc>
        <w:tc>
          <w:tcPr>
            <w:tcW w:w="1591" w:type="dxa"/>
            <w:tcBorders>
              <w:top w:val="nil"/>
              <w:left w:val="nil"/>
              <w:bottom w:val="nil"/>
              <w:right w:val="nil"/>
            </w:tcBorders>
            <w:shd w:val="clear" w:color="auto" w:fill="auto"/>
            <w:noWrap/>
          </w:tcPr>
          <w:p w14:paraId="4BFFE52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-23.45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(-36.93 to -9.25)</w:t>
            </w:r>
          </w:p>
        </w:tc>
        <w:tc>
          <w:tcPr>
            <w:tcW w:w="1369" w:type="dxa"/>
            <w:tcBorders>
              <w:top w:val="nil"/>
              <w:left w:val="nil"/>
              <w:bottom w:val="nil"/>
              <w:right w:val="nil"/>
            </w:tcBorders>
            <w:shd w:val="clear" w:color="auto" w:fill="auto"/>
            <w:noWrap/>
          </w:tcPr>
          <w:p w14:paraId="3306392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28.18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(28.1 to 28.25)</w:t>
            </w:r>
          </w:p>
        </w:tc>
        <w:tc>
          <w:tcPr>
            <w:tcW w:w="1480" w:type="dxa"/>
            <w:tcBorders>
              <w:top w:val="nil"/>
              <w:left w:val="nil"/>
              <w:bottom w:val="nil"/>
              <w:right w:val="nil"/>
            </w:tcBorders>
            <w:shd w:val="clear" w:color="auto" w:fill="auto"/>
            <w:noWrap/>
          </w:tcPr>
          <w:p w14:paraId="10CB1A9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(-2.92 to -1.65)</w:t>
            </w:r>
          </w:p>
        </w:tc>
        <w:tc>
          <w:tcPr>
            <w:tcW w:w="1480" w:type="dxa"/>
            <w:tcBorders>
              <w:top w:val="nil"/>
              <w:left w:val="nil"/>
              <w:bottom w:val="nil"/>
              <w:right w:val="nil"/>
            </w:tcBorders>
            <w:shd w:val="clear" w:color="auto" w:fill="auto"/>
            <w:noWrap/>
          </w:tcPr>
          <w:p w14:paraId="5AC78D4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(4.83 to 6.17)</w:t>
            </w:r>
          </w:p>
        </w:tc>
        <w:tc>
          <w:tcPr>
            <w:tcW w:w="1480" w:type="dxa"/>
            <w:tcBorders>
              <w:top w:val="nil"/>
              <w:left w:val="nil"/>
              <w:bottom w:val="nil"/>
              <w:right w:val="nil"/>
            </w:tcBorders>
            <w:shd w:val="clear" w:color="auto" w:fill="auto"/>
            <w:noWrap/>
          </w:tcPr>
          <w:p w14:paraId="3484FEF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-40.73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(-52.16 to -28.02)</w:t>
            </w:r>
          </w:p>
        </w:tc>
        <w:tc>
          <w:tcPr>
            <w:tcW w:w="1565" w:type="dxa"/>
            <w:tcBorders>
              <w:top w:val="nil"/>
              <w:left w:val="nil"/>
              <w:bottom w:val="nil"/>
              <w:right w:val="nil"/>
            </w:tcBorders>
            <w:shd w:val="clear" w:color="auto" w:fill="auto"/>
            <w:noWrap/>
          </w:tcPr>
          <w:p w14:paraId="6D363FD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(0.27 to 0.29)</w:t>
            </w:r>
          </w:p>
        </w:tc>
        <w:tc>
          <w:tcPr>
            <w:tcW w:w="1488" w:type="dxa"/>
            <w:tcBorders>
              <w:top w:val="nil"/>
              <w:left w:val="nil"/>
              <w:bottom w:val="nil"/>
              <w:right w:val="nil"/>
            </w:tcBorders>
            <w:shd w:val="clear" w:color="auto" w:fill="auto"/>
            <w:noWrap/>
          </w:tcPr>
          <w:p w14:paraId="553B18F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(-4.27 to -2.61)</w:t>
            </w:r>
          </w:p>
        </w:tc>
      </w:tr>
      <w:tr w14:paraId="3116002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48C0F9C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2E3AAAE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Child wasting</w:t>
            </w:r>
          </w:p>
        </w:tc>
        <w:tc>
          <w:tcPr>
            <w:tcW w:w="1480" w:type="dxa"/>
            <w:tcBorders>
              <w:top w:val="nil"/>
              <w:left w:val="nil"/>
              <w:bottom w:val="nil"/>
              <w:right w:val="nil"/>
            </w:tcBorders>
            <w:shd w:val="clear" w:color="auto" w:fill="auto"/>
            <w:noWrap/>
          </w:tcPr>
          <w:p w14:paraId="1BBAF31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549.97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(454.45 to 688.02)</w:t>
            </w:r>
          </w:p>
        </w:tc>
        <w:tc>
          <w:tcPr>
            <w:tcW w:w="1591" w:type="dxa"/>
            <w:tcBorders>
              <w:top w:val="nil"/>
              <w:left w:val="nil"/>
              <w:bottom w:val="nil"/>
              <w:right w:val="nil"/>
            </w:tcBorders>
            <w:shd w:val="clear" w:color="auto" w:fill="auto"/>
            <w:noWrap/>
          </w:tcPr>
          <w:p w14:paraId="6E0CF31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-23.45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(-36.93 to -9.25)</w:t>
            </w:r>
          </w:p>
        </w:tc>
        <w:tc>
          <w:tcPr>
            <w:tcW w:w="1369" w:type="dxa"/>
            <w:tcBorders>
              <w:top w:val="nil"/>
              <w:left w:val="nil"/>
              <w:bottom w:val="nil"/>
              <w:right w:val="nil"/>
            </w:tcBorders>
            <w:shd w:val="clear" w:color="auto" w:fill="auto"/>
            <w:noWrap/>
          </w:tcPr>
          <w:p w14:paraId="01D7114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28.18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(28.1 to 28.25)</w:t>
            </w:r>
          </w:p>
        </w:tc>
        <w:tc>
          <w:tcPr>
            <w:tcW w:w="1480" w:type="dxa"/>
            <w:tcBorders>
              <w:top w:val="nil"/>
              <w:left w:val="nil"/>
              <w:bottom w:val="nil"/>
              <w:right w:val="nil"/>
            </w:tcBorders>
            <w:shd w:val="clear" w:color="auto" w:fill="auto"/>
            <w:noWrap/>
          </w:tcPr>
          <w:p w14:paraId="32BF7D5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(-2.92 to -1.65)</w:t>
            </w:r>
          </w:p>
        </w:tc>
        <w:tc>
          <w:tcPr>
            <w:tcW w:w="1480" w:type="dxa"/>
            <w:tcBorders>
              <w:top w:val="nil"/>
              <w:left w:val="nil"/>
              <w:bottom w:val="nil"/>
              <w:right w:val="nil"/>
            </w:tcBorders>
            <w:shd w:val="clear" w:color="auto" w:fill="auto"/>
            <w:noWrap/>
          </w:tcPr>
          <w:p w14:paraId="7737EED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(4.83 to 6.17)</w:t>
            </w:r>
          </w:p>
        </w:tc>
        <w:tc>
          <w:tcPr>
            <w:tcW w:w="1480" w:type="dxa"/>
            <w:tcBorders>
              <w:top w:val="nil"/>
              <w:left w:val="nil"/>
              <w:bottom w:val="nil"/>
              <w:right w:val="nil"/>
            </w:tcBorders>
            <w:shd w:val="clear" w:color="auto" w:fill="auto"/>
            <w:noWrap/>
          </w:tcPr>
          <w:p w14:paraId="37D35B9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-40.73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(-52.16 to -28.02)</w:t>
            </w:r>
          </w:p>
        </w:tc>
        <w:tc>
          <w:tcPr>
            <w:tcW w:w="1565" w:type="dxa"/>
            <w:tcBorders>
              <w:top w:val="nil"/>
              <w:left w:val="nil"/>
              <w:bottom w:val="nil"/>
              <w:right w:val="nil"/>
            </w:tcBorders>
            <w:shd w:val="clear" w:color="auto" w:fill="auto"/>
            <w:noWrap/>
          </w:tcPr>
          <w:p w14:paraId="426E933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(0.27 to 0.29)</w:t>
            </w:r>
          </w:p>
        </w:tc>
        <w:tc>
          <w:tcPr>
            <w:tcW w:w="1488" w:type="dxa"/>
            <w:tcBorders>
              <w:top w:val="nil"/>
              <w:left w:val="nil"/>
              <w:bottom w:val="nil"/>
              <w:right w:val="nil"/>
            </w:tcBorders>
            <w:shd w:val="clear" w:color="auto" w:fill="auto"/>
            <w:noWrap/>
          </w:tcPr>
          <w:p w14:paraId="2713790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(-4.27 to -2.61)</w:t>
            </w:r>
          </w:p>
        </w:tc>
      </w:tr>
      <w:tr w14:paraId="1B3E09B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4104AA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700DDAB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Low birth weight and short gestation</w:t>
            </w:r>
          </w:p>
        </w:tc>
        <w:tc>
          <w:tcPr>
            <w:tcW w:w="1480" w:type="dxa"/>
            <w:tcBorders>
              <w:top w:val="nil"/>
              <w:left w:val="nil"/>
              <w:bottom w:val="nil"/>
              <w:right w:val="nil"/>
            </w:tcBorders>
            <w:shd w:val="clear" w:color="auto" w:fill="auto"/>
            <w:noWrap/>
          </w:tcPr>
          <w:p w14:paraId="5E8D633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3,421.99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(2,490.88 to 4,409.26)</w:t>
            </w:r>
          </w:p>
        </w:tc>
        <w:tc>
          <w:tcPr>
            <w:tcW w:w="1591" w:type="dxa"/>
            <w:tcBorders>
              <w:top w:val="nil"/>
              <w:left w:val="nil"/>
              <w:bottom w:val="nil"/>
              <w:right w:val="nil"/>
            </w:tcBorders>
            <w:shd w:val="clear" w:color="auto" w:fill="auto"/>
            <w:noWrap/>
          </w:tcPr>
          <w:p w14:paraId="71243E2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107.80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(93.49 to 121.89)</w:t>
            </w:r>
          </w:p>
        </w:tc>
        <w:tc>
          <w:tcPr>
            <w:tcW w:w="1369" w:type="dxa"/>
            <w:tcBorders>
              <w:top w:val="nil"/>
              <w:left w:val="nil"/>
              <w:bottom w:val="nil"/>
              <w:right w:val="nil"/>
            </w:tcBorders>
            <w:shd w:val="clear" w:color="auto" w:fill="auto"/>
            <w:noWrap/>
          </w:tcPr>
          <w:p w14:paraId="16720E3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176.76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(176.58 to 176.95)</w:t>
            </w:r>
          </w:p>
        </w:tc>
        <w:tc>
          <w:tcPr>
            <w:tcW w:w="1480" w:type="dxa"/>
            <w:tcBorders>
              <w:top w:val="nil"/>
              <w:left w:val="nil"/>
              <w:bottom w:val="nil"/>
              <w:right w:val="nil"/>
            </w:tcBorders>
            <w:shd w:val="clear" w:color="auto" w:fill="auto"/>
            <w:noWrap/>
          </w:tcPr>
          <w:p w14:paraId="3098A4C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(1.35 to 1.52)</w:t>
            </w:r>
          </w:p>
        </w:tc>
        <w:tc>
          <w:tcPr>
            <w:tcW w:w="1480" w:type="dxa"/>
            <w:tcBorders>
              <w:top w:val="nil"/>
              <w:left w:val="nil"/>
              <w:bottom w:val="nil"/>
              <w:right w:val="nil"/>
            </w:tcBorders>
            <w:shd w:val="clear" w:color="auto" w:fill="auto"/>
            <w:noWrap/>
          </w:tcPr>
          <w:p w14:paraId="6AF75597">
            <w:pPr>
              <w:jc w:val="center"/>
              <w:rPr>
                <w:rFonts w:ascii="Times New Roman" w:hAnsi="Times New Roman" w:cs="Times New Roman"/>
                <w:color w:val="000000"/>
                <w:sz w:val="20"/>
                <w:szCs w:val="20"/>
              </w:rPr>
            </w:pPr>
          </w:p>
        </w:tc>
        <w:tc>
          <w:tcPr>
            <w:tcW w:w="1480" w:type="dxa"/>
            <w:tcBorders>
              <w:top w:val="nil"/>
              <w:left w:val="nil"/>
              <w:bottom w:val="nil"/>
              <w:right w:val="nil"/>
            </w:tcBorders>
            <w:shd w:val="clear" w:color="auto" w:fill="auto"/>
            <w:noWrap/>
          </w:tcPr>
          <w:p w14:paraId="2D9B6B22">
            <w:pPr>
              <w:jc w:val="center"/>
              <w:rPr>
                <w:rFonts w:ascii="Times New Roman" w:hAnsi="Times New Roman" w:cs="Times New Roman"/>
                <w:color w:val="000000"/>
                <w:sz w:val="20"/>
                <w:szCs w:val="20"/>
              </w:rPr>
            </w:pPr>
          </w:p>
        </w:tc>
        <w:tc>
          <w:tcPr>
            <w:tcW w:w="1565" w:type="dxa"/>
            <w:tcBorders>
              <w:top w:val="nil"/>
              <w:left w:val="nil"/>
              <w:bottom w:val="nil"/>
              <w:right w:val="nil"/>
            </w:tcBorders>
            <w:shd w:val="clear" w:color="auto" w:fill="auto"/>
            <w:noWrap/>
          </w:tcPr>
          <w:p w14:paraId="3E69B2C5">
            <w:pPr>
              <w:jc w:val="center"/>
              <w:rPr>
                <w:rFonts w:ascii="Times New Roman" w:hAnsi="Times New Roman" w:cs="Times New Roman"/>
                <w:color w:val="000000"/>
                <w:sz w:val="20"/>
                <w:szCs w:val="20"/>
              </w:rPr>
            </w:pPr>
          </w:p>
        </w:tc>
        <w:tc>
          <w:tcPr>
            <w:tcW w:w="1488" w:type="dxa"/>
            <w:tcBorders>
              <w:top w:val="nil"/>
              <w:left w:val="nil"/>
              <w:bottom w:val="nil"/>
              <w:right w:val="nil"/>
            </w:tcBorders>
            <w:shd w:val="clear" w:color="auto" w:fill="auto"/>
            <w:noWrap/>
          </w:tcPr>
          <w:p w14:paraId="77FC0AFA">
            <w:pPr>
              <w:jc w:val="center"/>
              <w:rPr>
                <w:rFonts w:ascii="Times New Roman" w:hAnsi="Times New Roman" w:cs="Times New Roman"/>
                <w:color w:val="000000"/>
                <w:sz w:val="20"/>
                <w:szCs w:val="20"/>
              </w:rPr>
            </w:pPr>
          </w:p>
        </w:tc>
      </w:tr>
      <w:tr w14:paraId="659EBC6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608674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7B701EC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Short gestation</w:t>
            </w:r>
          </w:p>
        </w:tc>
        <w:tc>
          <w:tcPr>
            <w:tcW w:w="1480" w:type="dxa"/>
            <w:tcBorders>
              <w:top w:val="nil"/>
              <w:left w:val="nil"/>
              <w:bottom w:val="nil"/>
              <w:right w:val="nil"/>
            </w:tcBorders>
            <w:shd w:val="clear" w:color="auto" w:fill="auto"/>
            <w:noWrap/>
          </w:tcPr>
          <w:p w14:paraId="1758E93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3,421.99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(2,490.88 to 4,409.26)</w:t>
            </w:r>
          </w:p>
        </w:tc>
        <w:tc>
          <w:tcPr>
            <w:tcW w:w="1591" w:type="dxa"/>
            <w:tcBorders>
              <w:top w:val="nil"/>
              <w:left w:val="nil"/>
              <w:bottom w:val="nil"/>
              <w:right w:val="nil"/>
            </w:tcBorders>
            <w:shd w:val="clear" w:color="auto" w:fill="auto"/>
            <w:noWrap/>
          </w:tcPr>
          <w:p w14:paraId="48F8D79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107.80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(93.49 to 121.89)</w:t>
            </w:r>
          </w:p>
        </w:tc>
        <w:tc>
          <w:tcPr>
            <w:tcW w:w="1369" w:type="dxa"/>
            <w:tcBorders>
              <w:top w:val="nil"/>
              <w:left w:val="nil"/>
              <w:bottom w:val="nil"/>
              <w:right w:val="nil"/>
            </w:tcBorders>
            <w:shd w:val="clear" w:color="auto" w:fill="auto"/>
            <w:noWrap/>
          </w:tcPr>
          <w:p w14:paraId="0D73EDE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176.76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(176.58 to 176.95)</w:t>
            </w:r>
          </w:p>
        </w:tc>
        <w:tc>
          <w:tcPr>
            <w:tcW w:w="1480" w:type="dxa"/>
            <w:tcBorders>
              <w:top w:val="nil"/>
              <w:left w:val="nil"/>
              <w:bottom w:val="nil"/>
              <w:right w:val="nil"/>
            </w:tcBorders>
            <w:shd w:val="clear" w:color="auto" w:fill="auto"/>
            <w:noWrap/>
          </w:tcPr>
          <w:p w14:paraId="3379E71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(1.35 to 1.52)</w:t>
            </w:r>
          </w:p>
        </w:tc>
        <w:tc>
          <w:tcPr>
            <w:tcW w:w="1480" w:type="dxa"/>
            <w:tcBorders>
              <w:top w:val="nil"/>
              <w:left w:val="nil"/>
              <w:bottom w:val="nil"/>
              <w:right w:val="nil"/>
            </w:tcBorders>
            <w:shd w:val="clear" w:color="auto" w:fill="auto"/>
            <w:noWrap/>
          </w:tcPr>
          <w:p w14:paraId="66A458F1">
            <w:pPr>
              <w:jc w:val="center"/>
              <w:rPr>
                <w:rFonts w:ascii="Times New Roman" w:hAnsi="Times New Roman" w:cs="Times New Roman"/>
                <w:color w:val="000000"/>
                <w:sz w:val="20"/>
                <w:szCs w:val="20"/>
              </w:rPr>
            </w:pPr>
          </w:p>
        </w:tc>
        <w:tc>
          <w:tcPr>
            <w:tcW w:w="1480" w:type="dxa"/>
            <w:tcBorders>
              <w:top w:val="nil"/>
              <w:left w:val="nil"/>
              <w:bottom w:val="nil"/>
              <w:right w:val="nil"/>
            </w:tcBorders>
            <w:shd w:val="clear" w:color="auto" w:fill="auto"/>
            <w:noWrap/>
          </w:tcPr>
          <w:p w14:paraId="49F4F6BC">
            <w:pPr>
              <w:jc w:val="center"/>
              <w:rPr>
                <w:rFonts w:ascii="Times New Roman" w:hAnsi="Times New Roman" w:cs="Times New Roman"/>
                <w:color w:val="000000"/>
                <w:sz w:val="20"/>
                <w:szCs w:val="20"/>
              </w:rPr>
            </w:pPr>
          </w:p>
        </w:tc>
        <w:tc>
          <w:tcPr>
            <w:tcW w:w="1565" w:type="dxa"/>
            <w:tcBorders>
              <w:top w:val="nil"/>
              <w:left w:val="nil"/>
              <w:bottom w:val="nil"/>
              <w:right w:val="nil"/>
            </w:tcBorders>
            <w:shd w:val="clear" w:color="auto" w:fill="auto"/>
            <w:noWrap/>
          </w:tcPr>
          <w:p w14:paraId="55AA5453">
            <w:pPr>
              <w:jc w:val="center"/>
              <w:rPr>
                <w:rFonts w:ascii="Times New Roman" w:hAnsi="Times New Roman" w:cs="Times New Roman"/>
                <w:color w:val="000000"/>
                <w:sz w:val="20"/>
                <w:szCs w:val="20"/>
              </w:rPr>
            </w:pPr>
          </w:p>
        </w:tc>
        <w:tc>
          <w:tcPr>
            <w:tcW w:w="1488" w:type="dxa"/>
            <w:tcBorders>
              <w:top w:val="nil"/>
              <w:left w:val="nil"/>
              <w:bottom w:val="nil"/>
              <w:right w:val="nil"/>
            </w:tcBorders>
            <w:shd w:val="clear" w:color="auto" w:fill="auto"/>
            <w:noWrap/>
          </w:tcPr>
          <w:p w14:paraId="0271DFAE">
            <w:pPr>
              <w:jc w:val="center"/>
              <w:rPr>
                <w:rFonts w:ascii="Times New Roman" w:hAnsi="Times New Roman" w:cs="Times New Roman"/>
                <w:color w:val="000000"/>
                <w:sz w:val="20"/>
                <w:szCs w:val="20"/>
              </w:rPr>
            </w:pPr>
          </w:p>
        </w:tc>
      </w:tr>
      <w:tr w14:paraId="3A28729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15AF6D8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w:t>
            </w:r>
          </w:p>
        </w:tc>
        <w:tc>
          <w:tcPr>
            <w:tcW w:w="1480" w:type="dxa"/>
            <w:tcBorders>
              <w:top w:val="nil"/>
              <w:left w:val="nil"/>
              <w:bottom w:val="nil"/>
              <w:right w:val="nil"/>
            </w:tcBorders>
            <w:shd w:val="clear" w:color="auto" w:fill="auto"/>
            <w:noWrap/>
          </w:tcPr>
          <w:p w14:paraId="0608B86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Low birth weight</w:t>
            </w:r>
          </w:p>
        </w:tc>
        <w:tc>
          <w:tcPr>
            <w:tcW w:w="1480" w:type="dxa"/>
            <w:tcBorders>
              <w:top w:val="nil"/>
              <w:left w:val="nil"/>
              <w:bottom w:val="nil"/>
              <w:right w:val="nil"/>
            </w:tcBorders>
            <w:shd w:val="clear" w:color="auto" w:fill="auto"/>
            <w:noWrap/>
          </w:tcPr>
          <w:p w14:paraId="1797B07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3,421.99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(2,490.88 to 4,409.26)</w:t>
            </w:r>
          </w:p>
        </w:tc>
        <w:tc>
          <w:tcPr>
            <w:tcW w:w="1591" w:type="dxa"/>
            <w:tcBorders>
              <w:top w:val="nil"/>
              <w:left w:val="nil"/>
              <w:bottom w:val="nil"/>
              <w:right w:val="nil"/>
            </w:tcBorders>
            <w:shd w:val="clear" w:color="auto" w:fill="auto"/>
            <w:noWrap/>
          </w:tcPr>
          <w:p w14:paraId="3158DB8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107.80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(93.49 to 121.89)</w:t>
            </w:r>
          </w:p>
        </w:tc>
        <w:tc>
          <w:tcPr>
            <w:tcW w:w="1369" w:type="dxa"/>
            <w:tcBorders>
              <w:top w:val="nil"/>
              <w:left w:val="nil"/>
              <w:bottom w:val="nil"/>
              <w:right w:val="nil"/>
            </w:tcBorders>
            <w:shd w:val="clear" w:color="auto" w:fill="auto"/>
            <w:noWrap/>
          </w:tcPr>
          <w:p w14:paraId="38E9D8C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176.76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(176.58 to 176.95)</w:t>
            </w:r>
          </w:p>
        </w:tc>
        <w:tc>
          <w:tcPr>
            <w:tcW w:w="1480" w:type="dxa"/>
            <w:tcBorders>
              <w:top w:val="nil"/>
              <w:left w:val="nil"/>
              <w:bottom w:val="nil"/>
              <w:right w:val="nil"/>
            </w:tcBorders>
            <w:shd w:val="clear" w:color="auto" w:fill="auto"/>
            <w:noWrap/>
          </w:tcPr>
          <w:p w14:paraId="7E2D255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(1.35 to 1.52)</w:t>
            </w:r>
          </w:p>
        </w:tc>
        <w:tc>
          <w:tcPr>
            <w:tcW w:w="1480" w:type="dxa"/>
            <w:tcBorders>
              <w:top w:val="nil"/>
              <w:left w:val="nil"/>
              <w:bottom w:val="nil"/>
              <w:right w:val="nil"/>
            </w:tcBorders>
            <w:shd w:val="clear" w:color="auto" w:fill="auto"/>
            <w:noWrap/>
          </w:tcPr>
          <w:p w14:paraId="24FFB5BC">
            <w:pPr>
              <w:jc w:val="center"/>
              <w:rPr>
                <w:rFonts w:ascii="Times New Roman" w:hAnsi="Times New Roman" w:cs="Times New Roman"/>
                <w:color w:val="000000"/>
                <w:sz w:val="20"/>
                <w:szCs w:val="20"/>
              </w:rPr>
            </w:pPr>
          </w:p>
        </w:tc>
        <w:tc>
          <w:tcPr>
            <w:tcW w:w="1480" w:type="dxa"/>
            <w:tcBorders>
              <w:top w:val="nil"/>
              <w:left w:val="nil"/>
              <w:bottom w:val="nil"/>
              <w:right w:val="nil"/>
            </w:tcBorders>
            <w:shd w:val="clear" w:color="auto" w:fill="auto"/>
            <w:noWrap/>
          </w:tcPr>
          <w:p w14:paraId="00EBA978">
            <w:pPr>
              <w:jc w:val="center"/>
              <w:rPr>
                <w:rFonts w:ascii="Times New Roman" w:hAnsi="Times New Roman" w:cs="Times New Roman"/>
                <w:color w:val="000000"/>
                <w:sz w:val="20"/>
                <w:szCs w:val="20"/>
              </w:rPr>
            </w:pPr>
          </w:p>
        </w:tc>
        <w:tc>
          <w:tcPr>
            <w:tcW w:w="1565" w:type="dxa"/>
            <w:tcBorders>
              <w:top w:val="nil"/>
              <w:left w:val="nil"/>
              <w:bottom w:val="nil"/>
              <w:right w:val="nil"/>
            </w:tcBorders>
            <w:shd w:val="clear" w:color="auto" w:fill="auto"/>
            <w:noWrap/>
          </w:tcPr>
          <w:p w14:paraId="6BD10E99">
            <w:pPr>
              <w:jc w:val="center"/>
              <w:rPr>
                <w:rFonts w:ascii="Times New Roman" w:hAnsi="Times New Roman" w:cs="Times New Roman"/>
                <w:color w:val="000000"/>
                <w:sz w:val="20"/>
                <w:szCs w:val="20"/>
              </w:rPr>
            </w:pPr>
          </w:p>
        </w:tc>
        <w:tc>
          <w:tcPr>
            <w:tcW w:w="1488" w:type="dxa"/>
            <w:tcBorders>
              <w:top w:val="nil"/>
              <w:left w:val="nil"/>
              <w:bottom w:val="nil"/>
              <w:right w:val="nil"/>
            </w:tcBorders>
            <w:shd w:val="clear" w:color="auto" w:fill="auto"/>
            <w:noWrap/>
          </w:tcPr>
          <w:p w14:paraId="4E29F1A7">
            <w:pPr>
              <w:jc w:val="center"/>
              <w:rPr>
                <w:rFonts w:ascii="Times New Roman" w:hAnsi="Times New Roman" w:cs="Times New Roman"/>
                <w:color w:val="000000"/>
                <w:sz w:val="20"/>
                <w:szCs w:val="20"/>
              </w:rPr>
            </w:pPr>
          </w:p>
        </w:tc>
      </w:tr>
      <w:tr w14:paraId="7BD9C6B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CC15D1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611DA28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Iron deficiency</w:t>
            </w:r>
          </w:p>
        </w:tc>
        <w:tc>
          <w:tcPr>
            <w:tcW w:w="1480" w:type="dxa"/>
            <w:tcBorders>
              <w:top w:val="nil"/>
              <w:left w:val="nil"/>
              <w:bottom w:val="nil"/>
              <w:right w:val="nil"/>
            </w:tcBorders>
            <w:shd w:val="clear" w:color="auto" w:fill="auto"/>
            <w:noWrap/>
          </w:tcPr>
          <w:p w14:paraId="48F03CE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13,780.61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(9,745.16 to 18,900.91)</w:t>
            </w:r>
          </w:p>
        </w:tc>
        <w:tc>
          <w:tcPr>
            <w:tcW w:w="1591" w:type="dxa"/>
            <w:tcBorders>
              <w:top w:val="nil"/>
              <w:left w:val="nil"/>
              <w:bottom w:val="nil"/>
              <w:right w:val="nil"/>
            </w:tcBorders>
            <w:shd w:val="clear" w:color="auto" w:fill="auto"/>
            <w:noWrap/>
          </w:tcPr>
          <w:p w14:paraId="435E38E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5.17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(-3.77 to 13.75)</w:t>
            </w:r>
          </w:p>
        </w:tc>
        <w:tc>
          <w:tcPr>
            <w:tcW w:w="1369" w:type="dxa"/>
            <w:tcBorders>
              <w:top w:val="nil"/>
              <w:left w:val="nil"/>
              <w:bottom w:val="nil"/>
              <w:right w:val="nil"/>
            </w:tcBorders>
            <w:shd w:val="clear" w:color="auto" w:fill="auto"/>
            <w:noWrap/>
          </w:tcPr>
          <w:p w14:paraId="10BA93F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709.72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(709.34 to 710.09)</w:t>
            </w:r>
          </w:p>
        </w:tc>
        <w:tc>
          <w:tcPr>
            <w:tcW w:w="1480" w:type="dxa"/>
            <w:tcBorders>
              <w:top w:val="nil"/>
              <w:left w:val="nil"/>
              <w:bottom w:val="nil"/>
              <w:right w:val="nil"/>
            </w:tcBorders>
            <w:shd w:val="clear" w:color="auto" w:fill="auto"/>
            <w:noWrap/>
          </w:tcPr>
          <w:p w14:paraId="60CC647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(-1.09 to -1.01)</w:t>
            </w:r>
          </w:p>
        </w:tc>
        <w:tc>
          <w:tcPr>
            <w:tcW w:w="1480" w:type="dxa"/>
            <w:tcBorders>
              <w:top w:val="nil"/>
              <w:left w:val="nil"/>
              <w:bottom w:val="nil"/>
              <w:right w:val="nil"/>
            </w:tcBorders>
            <w:shd w:val="clear" w:color="auto" w:fill="auto"/>
            <w:noWrap/>
          </w:tcPr>
          <w:p w14:paraId="1C3635D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33.84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(16.37 to 47.87)</w:t>
            </w:r>
          </w:p>
        </w:tc>
        <w:tc>
          <w:tcPr>
            <w:tcW w:w="1480" w:type="dxa"/>
            <w:tcBorders>
              <w:top w:val="nil"/>
              <w:left w:val="nil"/>
              <w:bottom w:val="nil"/>
              <w:right w:val="nil"/>
            </w:tcBorders>
            <w:shd w:val="clear" w:color="auto" w:fill="auto"/>
            <w:noWrap/>
          </w:tcPr>
          <w:p w14:paraId="66BC5D6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-42.01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(-52.54 to -30.78)</w:t>
            </w:r>
          </w:p>
        </w:tc>
        <w:tc>
          <w:tcPr>
            <w:tcW w:w="1565" w:type="dxa"/>
            <w:tcBorders>
              <w:top w:val="nil"/>
              <w:left w:val="nil"/>
              <w:bottom w:val="nil"/>
              <w:right w:val="nil"/>
            </w:tcBorders>
            <w:shd w:val="clear" w:color="auto" w:fill="auto"/>
            <w:noWrap/>
          </w:tcPr>
          <w:p w14:paraId="63594D7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(1.72 to 1.76)</w:t>
            </w:r>
          </w:p>
        </w:tc>
        <w:tc>
          <w:tcPr>
            <w:tcW w:w="1488" w:type="dxa"/>
            <w:tcBorders>
              <w:top w:val="nil"/>
              <w:left w:val="nil"/>
              <w:bottom w:val="nil"/>
              <w:right w:val="nil"/>
            </w:tcBorders>
            <w:shd w:val="clear" w:color="auto" w:fill="auto"/>
            <w:noWrap/>
          </w:tcPr>
          <w:p w14:paraId="73FE3F9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-2.98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(-3.09 to -2.87)</w:t>
            </w:r>
          </w:p>
        </w:tc>
      </w:tr>
      <w:tr w14:paraId="489B289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6CA92BE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31070E0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Vitamin A deficiency</w:t>
            </w:r>
          </w:p>
        </w:tc>
        <w:tc>
          <w:tcPr>
            <w:tcW w:w="1480" w:type="dxa"/>
            <w:tcBorders>
              <w:top w:val="nil"/>
              <w:left w:val="nil"/>
              <w:bottom w:val="nil"/>
              <w:right w:val="nil"/>
            </w:tcBorders>
            <w:shd w:val="clear" w:color="auto" w:fill="auto"/>
            <w:noWrap/>
          </w:tcPr>
          <w:p w14:paraId="76B1B77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57.77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(35.13 to 85.56)</w:t>
            </w:r>
          </w:p>
        </w:tc>
        <w:tc>
          <w:tcPr>
            <w:tcW w:w="1591" w:type="dxa"/>
            <w:tcBorders>
              <w:top w:val="nil"/>
              <w:left w:val="nil"/>
              <w:bottom w:val="nil"/>
              <w:right w:val="nil"/>
            </w:tcBorders>
            <w:shd w:val="clear" w:color="auto" w:fill="auto"/>
            <w:noWrap/>
          </w:tcPr>
          <w:p w14:paraId="1AD7844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47.16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(33.82 to 60.74)</w:t>
            </w:r>
          </w:p>
        </w:tc>
        <w:tc>
          <w:tcPr>
            <w:tcW w:w="1369" w:type="dxa"/>
            <w:tcBorders>
              <w:top w:val="nil"/>
              <w:left w:val="nil"/>
              <w:bottom w:val="nil"/>
              <w:right w:val="nil"/>
            </w:tcBorders>
            <w:shd w:val="clear" w:color="auto" w:fill="auto"/>
            <w:noWrap/>
          </w:tcPr>
          <w:p w14:paraId="58F9848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2.99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(2.97 to 3.02)</w:t>
            </w:r>
          </w:p>
        </w:tc>
        <w:tc>
          <w:tcPr>
            <w:tcW w:w="1480" w:type="dxa"/>
            <w:tcBorders>
              <w:top w:val="nil"/>
              <w:left w:val="nil"/>
              <w:bottom w:val="nil"/>
              <w:right w:val="nil"/>
            </w:tcBorders>
            <w:shd w:val="clear" w:color="auto" w:fill="auto"/>
            <w:noWrap/>
          </w:tcPr>
          <w:p w14:paraId="775F3EB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(0.04 to 0.14)</w:t>
            </w:r>
          </w:p>
        </w:tc>
        <w:tc>
          <w:tcPr>
            <w:tcW w:w="1480" w:type="dxa"/>
            <w:tcBorders>
              <w:top w:val="nil"/>
              <w:left w:val="nil"/>
              <w:bottom w:val="nil"/>
              <w:right w:val="nil"/>
            </w:tcBorders>
            <w:shd w:val="clear" w:color="auto" w:fill="auto"/>
            <w:noWrap/>
          </w:tcPr>
          <w:p w14:paraId="1BF5A103">
            <w:pPr>
              <w:jc w:val="center"/>
              <w:rPr>
                <w:rFonts w:ascii="Times New Roman" w:hAnsi="Times New Roman" w:cs="Times New Roman"/>
                <w:color w:val="000000"/>
                <w:sz w:val="20"/>
                <w:szCs w:val="20"/>
              </w:rPr>
            </w:pPr>
          </w:p>
        </w:tc>
        <w:tc>
          <w:tcPr>
            <w:tcW w:w="1480" w:type="dxa"/>
            <w:tcBorders>
              <w:top w:val="nil"/>
              <w:left w:val="nil"/>
              <w:bottom w:val="nil"/>
              <w:right w:val="nil"/>
            </w:tcBorders>
            <w:shd w:val="clear" w:color="auto" w:fill="auto"/>
            <w:noWrap/>
          </w:tcPr>
          <w:p w14:paraId="392EC249">
            <w:pPr>
              <w:jc w:val="center"/>
              <w:rPr>
                <w:rFonts w:ascii="Times New Roman" w:hAnsi="Times New Roman" w:cs="Times New Roman"/>
                <w:color w:val="000000"/>
                <w:sz w:val="20"/>
                <w:szCs w:val="20"/>
              </w:rPr>
            </w:pPr>
          </w:p>
        </w:tc>
        <w:tc>
          <w:tcPr>
            <w:tcW w:w="1565" w:type="dxa"/>
            <w:tcBorders>
              <w:top w:val="nil"/>
              <w:left w:val="nil"/>
              <w:bottom w:val="nil"/>
              <w:right w:val="nil"/>
            </w:tcBorders>
            <w:shd w:val="clear" w:color="auto" w:fill="auto"/>
            <w:noWrap/>
          </w:tcPr>
          <w:p w14:paraId="51E04E53">
            <w:pPr>
              <w:jc w:val="center"/>
              <w:rPr>
                <w:rFonts w:ascii="Times New Roman" w:hAnsi="Times New Roman" w:cs="Times New Roman"/>
                <w:color w:val="000000"/>
                <w:sz w:val="20"/>
                <w:szCs w:val="20"/>
              </w:rPr>
            </w:pPr>
          </w:p>
        </w:tc>
        <w:tc>
          <w:tcPr>
            <w:tcW w:w="1488" w:type="dxa"/>
            <w:tcBorders>
              <w:top w:val="nil"/>
              <w:left w:val="nil"/>
              <w:bottom w:val="nil"/>
              <w:right w:val="nil"/>
            </w:tcBorders>
            <w:shd w:val="clear" w:color="auto" w:fill="auto"/>
            <w:noWrap/>
          </w:tcPr>
          <w:p w14:paraId="25299DE5">
            <w:pPr>
              <w:jc w:val="center"/>
              <w:rPr>
                <w:rFonts w:ascii="Times New Roman" w:hAnsi="Times New Roman" w:cs="Times New Roman"/>
                <w:color w:val="000000"/>
                <w:sz w:val="20"/>
                <w:szCs w:val="20"/>
              </w:rPr>
            </w:pPr>
          </w:p>
        </w:tc>
      </w:tr>
      <w:tr w14:paraId="77B943E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03701C5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7EFD05E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Tobacco</w:t>
            </w:r>
          </w:p>
        </w:tc>
        <w:tc>
          <w:tcPr>
            <w:tcW w:w="1480" w:type="dxa"/>
            <w:tcBorders>
              <w:top w:val="nil"/>
              <w:left w:val="nil"/>
              <w:bottom w:val="nil"/>
              <w:right w:val="nil"/>
            </w:tcBorders>
            <w:shd w:val="clear" w:color="auto" w:fill="auto"/>
            <w:noWrap/>
          </w:tcPr>
          <w:p w14:paraId="4BD790B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6,290.03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(4,034.92 to 8,724.96)</w:t>
            </w:r>
          </w:p>
        </w:tc>
        <w:tc>
          <w:tcPr>
            <w:tcW w:w="1591" w:type="dxa"/>
            <w:tcBorders>
              <w:top w:val="nil"/>
              <w:left w:val="nil"/>
              <w:bottom w:val="nil"/>
              <w:right w:val="nil"/>
            </w:tcBorders>
            <w:shd w:val="clear" w:color="auto" w:fill="auto"/>
            <w:noWrap/>
          </w:tcPr>
          <w:p w14:paraId="27D849D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-12.33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(-19.38 to -5.22)</w:t>
            </w:r>
          </w:p>
        </w:tc>
        <w:tc>
          <w:tcPr>
            <w:tcW w:w="1369" w:type="dxa"/>
            <w:tcBorders>
              <w:top w:val="nil"/>
              <w:left w:val="nil"/>
              <w:bottom w:val="nil"/>
              <w:right w:val="nil"/>
            </w:tcBorders>
            <w:shd w:val="clear" w:color="auto" w:fill="auto"/>
            <w:noWrap/>
          </w:tcPr>
          <w:p w14:paraId="2F95E39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308.37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(308.13 to 308.61)</w:t>
            </w:r>
          </w:p>
        </w:tc>
        <w:tc>
          <w:tcPr>
            <w:tcW w:w="1480" w:type="dxa"/>
            <w:tcBorders>
              <w:top w:val="nil"/>
              <w:left w:val="nil"/>
              <w:bottom w:val="nil"/>
              <w:right w:val="nil"/>
            </w:tcBorders>
            <w:shd w:val="clear" w:color="auto" w:fill="auto"/>
            <w:noWrap/>
          </w:tcPr>
          <w:p w14:paraId="24492F4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-2.43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(-2.53 to -2.33)</w:t>
            </w:r>
          </w:p>
        </w:tc>
        <w:tc>
          <w:tcPr>
            <w:tcW w:w="1480" w:type="dxa"/>
            <w:tcBorders>
              <w:top w:val="nil"/>
              <w:left w:val="nil"/>
              <w:bottom w:val="nil"/>
              <w:right w:val="nil"/>
            </w:tcBorders>
            <w:shd w:val="clear" w:color="auto" w:fill="auto"/>
            <w:noWrap/>
          </w:tcPr>
          <w:p w14:paraId="26A7E10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85.36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(58.57 to 113.78)</w:t>
            </w:r>
          </w:p>
        </w:tc>
        <w:tc>
          <w:tcPr>
            <w:tcW w:w="1480" w:type="dxa"/>
            <w:tcBorders>
              <w:top w:val="nil"/>
              <w:left w:val="nil"/>
              <w:bottom w:val="nil"/>
              <w:right w:val="nil"/>
            </w:tcBorders>
            <w:shd w:val="clear" w:color="auto" w:fill="auto"/>
            <w:noWrap/>
          </w:tcPr>
          <w:p w14:paraId="1170BDC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-20.07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(-27.93 to -12.57)</w:t>
            </w:r>
          </w:p>
        </w:tc>
        <w:tc>
          <w:tcPr>
            <w:tcW w:w="1565" w:type="dxa"/>
            <w:tcBorders>
              <w:top w:val="nil"/>
              <w:left w:val="nil"/>
              <w:bottom w:val="nil"/>
              <w:right w:val="nil"/>
            </w:tcBorders>
            <w:shd w:val="clear" w:color="auto" w:fill="auto"/>
            <w:noWrap/>
          </w:tcPr>
          <w:p w14:paraId="2D2C8AC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4.17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(4.14 to 4.2)</w:t>
            </w:r>
          </w:p>
        </w:tc>
        <w:tc>
          <w:tcPr>
            <w:tcW w:w="1488" w:type="dxa"/>
            <w:tcBorders>
              <w:top w:val="nil"/>
              <w:left w:val="nil"/>
              <w:bottom w:val="nil"/>
              <w:right w:val="nil"/>
            </w:tcBorders>
            <w:shd w:val="clear" w:color="auto" w:fill="auto"/>
            <w:noWrap/>
          </w:tcPr>
          <w:p w14:paraId="20D3C85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-2.82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(-2.95 to -2.69)</w:t>
            </w:r>
          </w:p>
        </w:tc>
      </w:tr>
      <w:tr w14:paraId="1081035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196E419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35D72DE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Smoking</w:t>
            </w:r>
          </w:p>
        </w:tc>
        <w:tc>
          <w:tcPr>
            <w:tcW w:w="1480" w:type="dxa"/>
            <w:tcBorders>
              <w:top w:val="nil"/>
              <w:left w:val="nil"/>
              <w:bottom w:val="nil"/>
              <w:right w:val="nil"/>
            </w:tcBorders>
            <w:shd w:val="clear" w:color="auto" w:fill="auto"/>
            <w:noWrap/>
          </w:tcPr>
          <w:p w14:paraId="1B07B30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3,521.64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(2,447.29 to 4,766.06)</w:t>
            </w:r>
          </w:p>
        </w:tc>
        <w:tc>
          <w:tcPr>
            <w:tcW w:w="1591" w:type="dxa"/>
            <w:tcBorders>
              <w:top w:val="nil"/>
              <w:left w:val="nil"/>
              <w:bottom w:val="nil"/>
              <w:right w:val="nil"/>
            </w:tcBorders>
            <w:shd w:val="clear" w:color="auto" w:fill="auto"/>
            <w:noWrap/>
          </w:tcPr>
          <w:p w14:paraId="116D014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-20.51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(-26.65 to -14.60)</w:t>
            </w:r>
          </w:p>
        </w:tc>
        <w:tc>
          <w:tcPr>
            <w:tcW w:w="1369" w:type="dxa"/>
            <w:tcBorders>
              <w:top w:val="nil"/>
              <w:left w:val="nil"/>
              <w:bottom w:val="nil"/>
              <w:right w:val="nil"/>
            </w:tcBorders>
            <w:shd w:val="clear" w:color="auto" w:fill="auto"/>
            <w:noWrap/>
          </w:tcPr>
          <w:p w14:paraId="1DD67E1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171.89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(171.71 to 172.06)</w:t>
            </w:r>
          </w:p>
        </w:tc>
        <w:tc>
          <w:tcPr>
            <w:tcW w:w="1480" w:type="dxa"/>
            <w:tcBorders>
              <w:top w:val="nil"/>
              <w:left w:val="nil"/>
              <w:bottom w:val="nil"/>
              <w:right w:val="nil"/>
            </w:tcBorders>
            <w:shd w:val="clear" w:color="auto" w:fill="auto"/>
            <w:noWrap/>
          </w:tcPr>
          <w:p w14:paraId="48B04A3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-2.79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(-2.91 to -2.67)</w:t>
            </w:r>
          </w:p>
        </w:tc>
        <w:tc>
          <w:tcPr>
            <w:tcW w:w="1480" w:type="dxa"/>
            <w:tcBorders>
              <w:top w:val="nil"/>
              <w:left w:val="nil"/>
              <w:bottom w:val="nil"/>
              <w:right w:val="nil"/>
            </w:tcBorders>
            <w:shd w:val="clear" w:color="auto" w:fill="auto"/>
            <w:noWrap/>
          </w:tcPr>
          <w:p w14:paraId="2E1CF91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41.09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(32.11 to 50.70)</w:t>
            </w:r>
          </w:p>
        </w:tc>
        <w:tc>
          <w:tcPr>
            <w:tcW w:w="1480" w:type="dxa"/>
            <w:tcBorders>
              <w:top w:val="nil"/>
              <w:left w:val="nil"/>
              <w:bottom w:val="nil"/>
              <w:right w:val="nil"/>
            </w:tcBorders>
            <w:shd w:val="clear" w:color="auto" w:fill="auto"/>
            <w:noWrap/>
          </w:tcPr>
          <w:p w14:paraId="288D265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-30.49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(-37.03 to -23.23)</w:t>
            </w:r>
          </w:p>
        </w:tc>
        <w:tc>
          <w:tcPr>
            <w:tcW w:w="1565" w:type="dxa"/>
            <w:tcBorders>
              <w:top w:val="nil"/>
              <w:left w:val="nil"/>
              <w:bottom w:val="nil"/>
              <w:right w:val="nil"/>
            </w:tcBorders>
            <w:shd w:val="clear" w:color="auto" w:fill="auto"/>
            <w:noWrap/>
          </w:tcPr>
          <w:p w14:paraId="4A04FE3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(1.98 to 2.02)</w:t>
            </w:r>
          </w:p>
        </w:tc>
        <w:tc>
          <w:tcPr>
            <w:tcW w:w="1488" w:type="dxa"/>
            <w:tcBorders>
              <w:top w:val="nil"/>
              <w:left w:val="nil"/>
              <w:bottom w:val="nil"/>
              <w:right w:val="nil"/>
            </w:tcBorders>
            <w:shd w:val="clear" w:color="auto" w:fill="auto"/>
            <w:noWrap/>
          </w:tcPr>
          <w:p w14:paraId="3C9A8F8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-3.35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(-3.53 to -3.17)</w:t>
            </w:r>
          </w:p>
        </w:tc>
      </w:tr>
      <w:tr w14:paraId="4EE30C9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4068E2A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12CC5BF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Chewing tobacco</w:t>
            </w:r>
          </w:p>
        </w:tc>
        <w:tc>
          <w:tcPr>
            <w:tcW w:w="1480" w:type="dxa"/>
            <w:tcBorders>
              <w:top w:val="nil"/>
              <w:left w:val="nil"/>
              <w:bottom w:val="nil"/>
              <w:right w:val="nil"/>
            </w:tcBorders>
            <w:shd w:val="clear" w:color="auto" w:fill="auto"/>
            <w:noWrap/>
          </w:tcPr>
          <w:p w14:paraId="44F1D6A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123.36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(85.81 to 158.50)</w:t>
            </w:r>
          </w:p>
        </w:tc>
        <w:tc>
          <w:tcPr>
            <w:tcW w:w="1591" w:type="dxa"/>
            <w:tcBorders>
              <w:top w:val="nil"/>
              <w:left w:val="nil"/>
              <w:bottom w:val="nil"/>
              <w:right w:val="nil"/>
            </w:tcBorders>
            <w:shd w:val="clear" w:color="auto" w:fill="auto"/>
            <w:noWrap/>
          </w:tcPr>
          <w:p w14:paraId="0CC45AB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80.09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(36.73 to 141.87)</w:t>
            </w:r>
          </w:p>
        </w:tc>
        <w:tc>
          <w:tcPr>
            <w:tcW w:w="1369" w:type="dxa"/>
            <w:tcBorders>
              <w:top w:val="nil"/>
              <w:left w:val="nil"/>
              <w:bottom w:val="nil"/>
              <w:right w:val="nil"/>
            </w:tcBorders>
            <w:shd w:val="clear" w:color="auto" w:fill="auto"/>
            <w:noWrap/>
          </w:tcPr>
          <w:p w14:paraId="63D847F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(5.97 to 6.04)</w:t>
            </w:r>
          </w:p>
        </w:tc>
        <w:tc>
          <w:tcPr>
            <w:tcW w:w="1480" w:type="dxa"/>
            <w:tcBorders>
              <w:top w:val="nil"/>
              <w:left w:val="nil"/>
              <w:bottom w:val="nil"/>
              <w:right w:val="nil"/>
            </w:tcBorders>
            <w:shd w:val="clear" w:color="auto" w:fill="auto"/>
            <w:noWrap/>
          </w:tcPr>
          <w:p w14:paraId="7B4CA3E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(-0.45 to -0.15)</w:t>
            </w:r>
          </w:p>
        </w:tc>
        <w:tc>
          <w:tcPr>
            <w:tcW w:w="1480" w:type="dxa"/>
            <w:tcBorders>
              <w:top w:val="nil"/>
              <w:left w:val="nil"/>
              <w:bottom w:val="nil"/>
              <w:right w:val="nil"/>
            </w:tcBorders>
            <w:shd w:val="clear" w:color="auto" w:fill="auto"/>
            <w:noWrap/>
          </w:tcPr>
          <w:p w14:paraId="46385CA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2.58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(1.80 to 3.33)</w:t>
            </w:r>
          </w:p>
        </w:tc>
        <w:tc>
          <w:tcPr>
            <w:tcW w:w="1480" w:type="dxa"/>
            <w:tcBorders>
              <w:top w:val="nil"/>
              <w:left w:val="nil"/>
              <w:bottom w:val="nil"/>
              <w:right w:val="nil"/>
            </w:tcBorders>
            <w:shd w:val="clear" w:color="auto" w:fill="auto"/>
            <w:noWrap/>
          </w:tcPr>
          <w:p w14:paraId="7B46A7F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79.58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(36.08 to 142.37)</w:t>
            </w:r>
          </w:p>
        </w:tc>
        <w:tc>
          <w:tcPr>
            <w:tcW w:w="1565" w:type="dxa"/>
            <w:tcBorders>
              <w:top w:val="nil"/>
              <w:left w:val="nil"/>
              <w:bottom w:val="nil"/>
              <w:right w:val="nil"/>
            </w:tcBorders>
            <w:shd w:val="clear" w:color="auto" w:fill="auto"/>
            <w:noWrap/>
          </w:tcPr>
          <w:p w14:paraId="60A684E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0.13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(0.12 to 0.13)</w:t>
            </w:r>
          </w:p>
        </w:tc>
        <w:tc>
          <w:tcPr>
            <w:tcW w:w="1488" w:type="dxa"/>
            <w:tcBorders>
              <w:top w:val="nil"/>
              <w:left w:val="nil"/>
              <w:bottom w:val="nil"/>
              <w:right w:val="nil"/>
            </w:tcBorders>
            <w:shd w:val="clear" w:color="auto" w:fill="auto"/>
            <w:noWrap/>
          </w:tcPr>
          <w:p w14:paraId="6F45413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-0.41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(-0.63 to -0.19)</w:t>
            </w:r>
          </w:p>
        </w:tc>
      </w:tr>
      <w:tr w14:paraId="139E6BE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767707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5651B2F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Secondhand smoke</w:t>
            </w:r>
          </w:p>
        </w:tc>
        <w:tc>
          <w:tcPr>
            <w:tcW w:w="1480" w:type="dxa"/>
            <w:tcBorders>
              <w:top w:val="nil"/>
              <w:left w:val="nil"/>
              <w:bottom w:val="nil"/>
              <w:right w:val="nil"/>
            </w:tcBorders>
            <w:shd w:val="clear" w:color="auto" w:fill="auto"/>
            <w:noWrap/>
          </w:tcPr>
          <w:p w14:paraId="174B506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2,789.85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(1,499.90 to 4,144.79)</w:t>
            </w:r>
          </w:p>
        </w:tc>
        <w:tc>
          <w:tcPr>
            <w:tcW w:w="1591" w:type="dxa"/>
            <w:tcBorders>
              <w:top w:val="nil"/>
              <w:left w:val="nil"/>
              <w:bottom w:val="nil"/>
              <w:right w:val="nil"/>
            </w:tcBorders>
            <w:shd w:val="clear" w:color="auto" w:fill="auto"/>
            <w:noWrap/>
          </w:tcPr>
          <w:p w14:paraId="3F591CE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-4.54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(-15.84 to 6.42)</w:t>
            </w:r>
          </w:p>
        </w:tc>
        <w:tc>
          <w:tcPr>
            <w:tcW w:w="1369" w:type="dxa"/>
            <w:tcBorders>
              <w:top w:val="nil"/>
              <w:left w:val="nil"/>
              <w:bottom w:val="nil"/>
              <w:right w:val="nil"/>
            </w:tcBorders>
            <w:shd w:val="clear" w:color="auto" w:fill="auto"/>
            <w:noWrap/>
          </w:tcPr>
          <w:p w14:paraId="58B658F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137.53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(137.37 to 137.69)</w:t>
            </w:r>
          </w:p>
        </w:tc>
        <w:tc>
          <w:tcPr>
            <w:tcW w:w="1480" w:type="dxa"/>
            <w:tcBorders>
              <w:top w:val="nil"/>
              <w:left w:val="nil"/>
              <w:bottom w:val="nil"/>
              <w:right w:val="nil"/>
            </w:tcBorders>
            <w:shd w:val="clear" w:color="auto" w:fill="auto"/>
            <w:noWrap/>
          </w:tcPr>
          <w:p w14:paraId="66805C3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(-2.18 to -2)</w:t>
            </w:r>
          </w:p>
        </w:tc>
        <w:tc>
          <w:tcPr>
            <w:tcW w:w="1480" w:type="dxa"/>
            <w:tcBorders>
              <w:top w:val="nil"/>
              <w:left w:val="nil"/>
              <w:bottom w:val="nil"/>
              <w:right w:val="nil"/>
            </w:tcBorders>
            <w:shd w:val="clear" w:color="auto" w:fill="auto"/>
            <w:noWrap/>
          </w:tcPr>
          <w:p w14:paraId="655E8B4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44.27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(25.29 to 64.13)</w:t>
            </w:r>
          </w:p>
        </w:tc>
        <w:tc>
          <w:tcPr>
            <w:tcW w:w="1480" w:type="dxa"/>
            <w:tcBorders>
              <w:top w:val="nil"/>
              <w:left w:val="nil"/>
              <w:bottom w:val="nil"/>
              <w:right w:val="nil"/>
            </w:tcBorders>
            <w:shd w:val="clear" w:color="auto" w:fill="auto"/>
            <w:noWrap/>
          </w:tcPr>
          <w:p w14:paraId="7713540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-13.02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(-23.67 to -2.54)</w:t>
            </w:r>
          </w:p>
        </w:tc>
        <w:tc>
          <w:tcPr>
            <w:tcW w:w="1565" w:type="dxa"/>
            <w:tcBorders>
              <w:top w:val="nil"/>
              <w:left w:val="nil"/>
              <w:bottom w:val="nil"/>
              <w:right w:val="nil"/>
            </w:tcBorders>
            <w:shd w:val="clear" w:color="auto" w:fill="auto"/>
            <w:noWrap/>
          </w:tcPr>
          <w:p w14:paraId="3B8B73D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2.17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(2.15 to 2.19)</w:t>
            </w:r>
          </w:p>
        </w:tc>
        <w:tc>
          <w:tcPr>
            <w:tcW w:w="1488" w:type="dxa"/>
            <w:tcBorders>
              <w:top w:val="nil"/>
              <w:left w:val="nil"/>
              <w:bottom w:val="nil"/>
              <w:right w:val="nil"/>
            </w:tcBorders>
            <w:shd w:val="clear" w:color="auto" w:fill="auto"/>
            <w:noWrap/>
          </w:tcPr>
          <w:p w14:paraId="6FE7330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(-2.55 to -2.35)</w:t>
            </w:r>
          </w:p>
        </w:tc>
      </w:tr>
      <w:tr w14:paraId="466DC01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F9EC2F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48A9E76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High alcohol use</w:t>
            </w:r>
          </w:p>
        </w:tc>
        <w:tc>
          <w:tcPr>
            <w:tcW w:w="1480" w:type="dxa"/>
            <w:tcBorders>
              <w:top w:val="nil"/>
              <w:left w:val="nil"/>
              <w:bottom w:val="nil"/>
              <w:right w:val="nil"/>
            </w:tcBorders>
            <w:shd w:val="clear" w:color="auto" w:fill="auto"/>
            <w:noWrap/>
          </w:tcPr>
          <w:p w14:paraId="391F2F5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4,546.46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(3,552.94 to 5,854.48)</w:t>
            </w:r>
          </w:p>
        </w:tc>
        <w:tc>
          <w:tcPr>
            <w:tcW w:w="1591" w:type="dxa"/>
            <w:tcBorders>
              <w:top w:val="nil"/>
              <w:left w:val="nil"/>
              <w:bottom w:val="nil"/>
              <w:right w:val="nil"/>
            </w:tcBorders>
            <w:shd w:val="clear" w:color="auto" w:fill="auto"/>
            <w:noWrap/>
          </w:tcPr>
          <w:p w14:paraId="7C66E22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7.79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(-1.95 to 15.36)</w:t>
            </w:r>
          </w:p>
        </w:tc>
        <w:tc>
          <w:tcPr>
            <w:tcW w:w="1369" w:type="dxa"/>
            <w:tcBorders>
              <w:top w:val="nil"/>
              <w:left w:val="nil"/>
              <w:bottom w:val="nil"/>
              <w:right w:val="nil"/>
            </w:tcBorders>
            <w:shd w:val="clear" w:color="auto" w:fill="auto"/>
            <w:noWrap/>
          </w:tcPr>
          <w:p w14:paraId="120001E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228.4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(228.19 to 228.61)</w:t>
            </w:r>
          </w:p>
        </w:tc>
        <w:tc>
          <w:tcPr>
            <w:tcW w:w="1480" w:type="dxa"/>
            <w:tcBorders>
              <w:top w:val="nil"/>
              <w:left w:val="nil"/>
              <w:bottom w:val="nil"/>
              <w:right w:val="nil"/>
            </w:tcBorders>
            <w:shd w:val="clear" w:color="auto" w:fill="auto"/>
            <w:noWrap/>
          </w:tcPr>
          <w:p w14:paraId="2556239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(-1.79 to -1.24)</w:t>
            </w:r>
          </w:p>
        </w:tc>
        <w:tc>
          <w:tcPr>
            <w:tcW w:w="1480" w:type="dxa"/>
            <w:tcBorders>
              <w:top w:val="nil"/>
              <w:left w:val="nil"/>
              <w:bottom w:val="nil"/>
              <w:right w:val="nil"/>
            </w:tcBorders>
            <w:shd w:val="clear" w:color="auto" w:fill="auto"/>
            <w:noWrap/>
          </w:tcPr>
          <w:p w14:paraId="749FE01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50.02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(39.48 to 71.22)</w:t>
            </w:r>
          </w:p>
        </w:tc>
        <w:tc>
          <w:tcPr>
            <w:tcW w:w="1480" w:type="dxa"/>
            <w:tcBorders>
              <w:top w:val="nil"/>
              <w:left w:val="nil"/>
              <w:bottom w:val="nil"/>
              <w:right w:val="nil"/>
            </w:tcBorders>
            <w:shd w:val="clear" w:color="auto" w:fill="auto"/>
            <w:noWrap/>
          </w:tcPr>
          <w:p w14:paraId="3464F82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6.36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(-6.56 to 19.76)</w:t>
            </w:r>
          </w:p>
        </w:tc>
        <w:tc>
          <w:tcPr>
            <w:tcW w:w="1565" w:type="dxa"/>
            <w:tcBorders>
              <w:top w:val="nil"/>
              <w:left w:val="nil"/>
              <w:bottom w:val="nil"/>
              <w:right w:val="nil"/>
            </w:tcBorders>
            <w:shd w:val="clear" w:color="auto" w:fill="auto"/>
            <w:noWrap/>
          </w:tcPr>
          <w:p w14:paraId="209188C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2.48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(2.46 to 2.5)</w:t>
            </w:r>
          </w:p>
        </w:tc>
        <w:tc>
          <w:tcPr>
            <w:tcW w:w="1488" w:type="dxa"/>
            <w:tcBorders>
              <w:top w:val="nil"/>
              <w:left w:val="nil"/>
              <w:bottom w:val="nil"/>
              <w:right w:val="nil"/>
            </w:tcBorders>
            <w:shd w:val="clear" w:color="auto" w:fill="auto"/>
            <w:noWrap/>
          </w:tcPr>
          <w:p w14:paraId="0A38F72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-1.89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(-2.29 to -1.48)</w:t>
            </w:r>
          </w:p>
        </w:tc>
      </w:tr>
      <w:tr w14:paraId="78280EE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B6E61E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54ADF1C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Drug use</w:t>
            </w:r>
          </w:p>
        </w:tc>
        <w:tc>
          <w:tcPr>
            <w:tcW w:w="1480" w:type="dxa"/>
            <w:tcBorders>
              <w:top w:val="nil"/>
              <w:left w:val="nil"/>
              <w:bottom w:val="nil"/>
              <w:right w:val="nil"/>
            </w:tcBorders>
            <w:shd w:val="clear" w:color="auto" w:fill="auto"/>
            <w:noWrap/>
          </w:tcPr>
          <w:p w14:paraId="3021D8B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6,386.08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(5,192.01 to 7,563.66)</w:t>
            </w:r>
          </w:p>
        </w:tc>
        <w:tc>
          <w:tcPr>
            <w:tcW w:w="1591" w:type="dxa"/>
            <w:tcBorders>
              <w:top w:val="nil"/>
              <w:left w:val="nil"/>
              <w:bottom w:val="nil"/>
              <w:right w:val="nil"/>
            </w:tcBorders>
            <w:shd w:val="clear" w:color="auto" w:fill="auto"/>
            <w:noWrap/>
          </w:tcPr>
          <w:p w14:paraId="1D844B9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66.84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(50.50 to 82.66)</w:t>
            </w:r>
          </w:p>
        </w:tc>
        <w:tc>
          <w:tcPr>
            <w:tcW w:w="1369" w:type="dxa"/>
            <w:tcBorders>
              <w:top w:val="nil"/>
              <w:left w:val="nil"/>
              <w:bottom w:val="nil"/>
              <w:right w:val="nil"/>
            </w:tcBorders>
            <w:shd w:val="clear" w:color="auto" w:fill="auto"/>
            <w:noWrap/>
          </w:tcPr>
          <w:p w14:paraId="77538DA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324.22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(323.97 to 324.48)</w:t>
            </w:r>
          </w:p>
        </w:tc>
        <w:tc>
          <w:tcPr>
            <w:tcW w:w="1480" w:type="dxa"/>
            <w:tcBorders>
              <w:top w:val="nil"/>
              <w:left w:val="nil"/>
              <w:bottom w:val="nil"/>
              <w:right w:val="nil"/>
            </w:tcBorders>
            <w:shd w:val="clear" w:color="auto" w:fill="auto"/>
            <w:noWrap/>
          </w:tcPr>
          <w:p w14:paraId="5B6F392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(-0.14 to 0.23)</w:t>
            </w:r>
          </w:p>
        </w:tc>
        <w:tc>
          <w:tcPr>
            <w:tcW w:w="1480" w:type="dxa"/>
            <w:tcBorders>
              <w:top w:val="nil"/>
              <w:left w:val="nil"/>
              <w:bottom w:val="nil"/>
              <w:right w:val="nil"/>
            </w:tcBorders>
            <w:shd w:val="clear" w:color="auto" w:fill="auto"/>
            <w:noWrap/>
          </w:tcPr>
          <w:p w14:paraId="54F0919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53.53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(47.00 to 62.19)</w:t>
            </w:r>
          </w:p>
        </w:tc>
        <w:tc>
          <w:tcPr>
            <w:tcW w:w="1480" w:type="dxa"/>
            <w:tcBorders>
              <w:top w:val="nil"/>
              <w:left w:val="nil"/>
              <w:bottom w:val="nil"/>
              <w:right w:val="nil"/>
            </w:tcBorders>
            <w:shd w:val="clear" w:color="auto" w:fill="auto"/>
            <w:noWrap/>
          </w:tcPr>
          <w:p w14:paraId="2C0D3FF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102.29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(66.05 to 141.33)</w:t>
            </w:r>
          </w:p>
        </w:tc>
        <w:tc>
          <w:tcPr>
            <w:tcW w:w="1565" w:type="dxa"/>
            <w:tcBorders>
              <w:top w:val="nil"/>
              <w:left w:val="nil"/>
              <w:bottom w:val="nil"/>
              <w:right w:val="nil"/>
            </w:tcBorders>
            <w:shd w:val="clear" w:color="auto" w:fill="auto"/>
            <w:noWrap/>
          </w:tcPr>
          <w:p w14:paraId="135AD95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2.67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(2.65 to 2.69)</w:t>
            </w:r>
          </w:p>
        </w:tc>
        <w:tc>
          <w:tcPr>
            <w:tcW w:w="1488" w:type="dxa"/>
            <w:tcBorders>
              <w:top w:val="nil"/>
              <w:left w:val="nil"/>
              <w:bottom w:val="nil"/>
              <w:right w:val="nil"/>
            </w:tcBorders>
            <w:shd w:val="clear" w:color="auto" w:fill="auto"/>
            <w:noWrap/>
          </w:tcPr>
          <w:p w14:paraId="1F50C1D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(-0.15 to 0.75)</w:t>
            </w:r>
          </w:p>
        </w:tc>
      </w:tr>
      <w:tr w14:paraId="581C5D8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3D13CB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7D130F5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Dietary risks</w:t>
            </w:r>
          </w:p>
        </w:tc>
        <w:tc>
          <w:tcPr>
            <w:tcW w:w="1480" w:type="dxa"/>
            <w:tcBorders>
              <w:top w:val="nil"/>
              <w:left w:val="nil"/>
              <w:bottom w:val="nil"/>
              <w:right w:val="nil"/>
            </w:tcBorders>
            <w:shd w:val="clear" w:color="auto" w:fill="auto"/>
            <w:noWrap/>
          </w:tcPr>
          <w:p w14:paraId="5F3FAAA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11,773.54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(2,259.34 to 16,617.49)</w:t>
            </w:r>
          </w:p>
        </w:tc>
        <w:tc>
          <w:tcPr>
            <w:tcW w:w="1591" w:type="dxa"/>
            <w:tcBorders>
              <w:top w:val="nil"/>
              <w:left w:val="nil"/>
              <w:bottom w:val="nil"/>
              <w:right w:val="nil"/>
            </w:tcBorders>
            <w:shd w:val="clear" w:color="auto" w:fill="auto"/>
            <w:noWrap/>
          </w:tcPr>
          <w:p w14:paraId="2881EDC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31.74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(9.82 to 48.20)</w:t>
            </w:r>
          </w:p>
        </w:tc>
        <w:tc>
          <w:tcPr>
            <w:tcW w:w="1369" w:type="dxa"/>
            <w:tcBorders>
              <w:top w:val="nil"/>
              <w:left w:val="nil"/>
              <w:bottom w:val="nil"/>
              <w:right w:val="nil"/>
            </w:tcBorders>
            <w:shd w:val="clear" w:color="auto" w:fill="auto"/>
            <w:noWrap/>
          </w:tcPr>
          <w:p w14:paraId="1B8BDED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577.84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(577.51 to 578.17)</w:t>
            </w:r>
          </w:p>
        </w:tc>
        <w:tc>
          <w:tcPr>
            <w:tcW w:w="1480" w:type="dxa"/>
            <w:tcBorders>
              <w:top w:val="nil"/>
              <w:left w:val="nil"/>
              <w:bottom w:val="nil"/>
              <w:right w:val="nil"/>
            </w:tcBorders>
            <w:shd w:val="clear" w:color="auto" w:fill="auto"/>
            <w:noWrap/>
          </w:tcPr>
          <w:p w14:paraId="5FF06EA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(-1.17 to -1.01)</w:t>
            </w:r>
          </w:p>
        </w:tc>
        <w:tc>
          <w:tcPr>
            <w:tcW w:w="1480" w:type="dxa"/>
            <w:tcBorders>
              <w:top w:val="nil"/>
              <w:left w:val="nil"/>
              <w:bottom w:val="nil"/>
              <w:right w:val="nil"/>
            </w:tcBorders>
            <w:shd w:val="clear" w:color="auto" w:fill="auto"/>
            <w:noWrap/>
          </w:tcPr>
          <w:p w14:paraId="25D24F1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201.28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(34.84 to 283.32)</w:t>
            </w:r>
          </w:p>
        </w:tc>
        <w:tc>
          <w:tcPr>
            <w:tcW w:w="1480" w:type="dxa"/>
            <w:tcBorders>
              <w:top w:val="nil"/>
              <w:left w:val="nil"/>
              <w:bottom w:val="nil"/>
              <w:right w:val="nil"/>
            </w:tcBorders>
            <w:shd w:val="clear" w:color="auto" w:fill="auto"/>
            <w:noWrap/>
          </w:tcPr>
          <w:p w14:paraId="10301AD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21.50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(0.21 to 38.35)</w:t>
            </w:r>
          </w:p>
        </w:tc>
        <w:tc>
          <w:tcPr>
            <w:tcW w:w="1565" w:type="dxa"/>
            <w:tcBorders>
              <w:top w:val="nil"/>
              <w:left w:val="nil"/>
              <w:bottom w:val="nil"/>
              <w:right w:val="nil"/>
            </w:tcBorders>
            <w:shd w:val="clear" w:color="auto" w:fill="auto"/>
            <w:noWrap/>
          </w:tcPr>
          <w:p w14:paraId="20817D0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9.84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(9.8 to 9.88)</w:t>
            </w:r>
          </w:p>
        </w:tc>
        <w:tc>
          <w:tcPr>
            <w:tcW w:w="1488" w:type="dxa"/>
            <w:tcBorders>
              <w:top w:val="nil"/>
              <w:left w:val="nil"/>
              <w:bottom w:val="nil"/>
              <w:right w:val="nil"/>
            </w:tcBorders>
            <w:shd w:val="clear" w:color="auto" w:fill="auto"/>
            <w:noWrap/>
          </w:tcPr>
          <w:p w14:paraId="22A6126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(-1.49 to -1.34)</w:t>
            </w:r>
          </w:p>
        </w:tc>
      </w:tr>
      <w:tr w14:paraId="2960096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533D87D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7A90537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low in fruits</w:t>
            </w:r>
          </w:p>
        </w:tc>
        <w:tc>
          <w:tcPr>
            <w:tcW w:w="1480" w:type="dxa"/>
            <w:tcBorders>
              <w:top w:val="nil"/>
              <w:left w:val="nil"/>
              <w:bottom w:val="nil"/>
              <w:right w:val="nil"/>
            </w:tcBorders>
            <w:shd w:val="clear" w:color="auto" w:fill="auto"/>
            <w:noWrap/>
          </w:tcPr>
          <w:p w14:paraId="0DDEBD5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3,953.38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(1,453.32 to 5,845.50)</w:t>
            </w:r>
          </w:p>
        </w:tc>
        <w:tc>
          <w:tcPr>
            <w:tcW w:w="1591" w:type="dxa"/>
            <w:tcBorders>
              <w:top w:val="nil"/>
              <w:left w:val="nil"/>
              <w:bottom w:val="nil"/>
              <w:right w:val="nil"/>
            </w:tcBorders>
            <w:shd w:val="clear" w:color="auto" w:fill="auto"/>
            <w:noWrap/>
          </w:tcPr>
          <w:p w14:paraId="3512ACF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16.15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(4.74 to 38.44)</w:t>
            </w:r>
          </w:p>
        </w:tc>
        <w:tc>
          <w:tcPr>
            <w:tcW w:w="1369" w:type="dxa"/>
            <w:tcBorders>
              <w:top w:val="nil"/>
              <w:left w:val="nil"/>
              <w:bottom w:val="nil"/>
              <w:right w:val="nil"/>
            </w:tcBorders>
            <w:shd w:val="clear" w:color="auto" w:fill="auto"/>
            <w:noWrap/>
          </w:tcPr>
          <w:p w14:paraId="28824AF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194.37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(194.18 to 194.57)</w:t>
            </w:r>
          </w:p>
        </w:tc>
        <w:tc>
          <w:tcPr>
            <w:tcW w:w="1480" w:type="dxa"/>
            <w:tcBorders>
              <w:top w:val="nil"/>
              <w:left w:val="nil"/>
              <w:bottom w:val="nil"/>
              <w:right w:val="nil"/>
            </w:tcBorders>
            <w:shd w:val="clear" w:color="auto" w:fill="auto"/>
            <w:noWrap/>
          </w:tcPr>
          <w:p w14:paraId="298280E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(-1.55 to -1.39)</w:t>
            </w:r>
          </w:p>
        </w:tc>
        <w:tc>
          <w:tcPr>
            <w:tcW w:w="1480" w:type="dxa"/>
            <w:tcBorders>
              <w:top w:val="nil"/>
              <w:left w:val="nil"/>
              <w:bottom w:val="nil"/>
              <w:right w:val="nil"/>
            </w:tcBorders>
            <w:shd w:val="clear" w:color="auto" w:fill="auto"/>
            <w:noWrap/>
          </w:tcPr>
          <w:p w14:paraId="0E9901D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69.83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(25.40 to 103.11)</w:t>
            </w:r>
          </w:p>
        </w:tc>
        <w:tc>
          <w:tcPr>
            <w:tcW w:w="1480" w:type="dxa"/>
            <w:tcBorders>
              <w:top w:val="nil"/>
              <w:left w:val="nil"/>
              <w:bottom w:val="nil"/>
              <w:right w:val="nil"/>
            </w:tcBorders>
            <w:shd w:val="clear" w:color="auto" w:fill="auto"/>
            <w:noWrap/>
          </w:tcPr>
          <w:p w14:paraId="1EE7F3E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11.81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(-0.29 to 35.46)</w:t>
            </w:r>
          </w:p>
        </w:tc>
        <w:tc>
          <w:tcPr>
            <w:tcW w:w="1565" w:type="dxa"/>
            <w:tcBorders>
              <w:top w:val="nil"/>
              <w:left w:val="nil"/>
              <w:bottom w:val="nil"/>
              <w:right w:val="nil"/>
            </w:tcBorders>
            <w:shd w:val="clear" w:color="auto" w:fill="auto"/>
            <w:noWrap/>
          </w:tcPr>
          <w:p w14:paraId="43851FF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3.42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(3.39 to 3.44)</w:t>
            </w:r>
          </w:p>
        </w:tc>
        <w:tc>
          <w:tcPr>
            <w:tcW w:w="1488" w:type="dxa"/>
            <w:tcBorders>
              <w:top w:val="nil"/>
              <w:left w:val="nil"/>
              <w:bottom w:val="nil"/>
              <w:right w:val="nil"/>
            </w:tcBorders>
            <w:shd w:val="clear" w:color="auto" w:fill="auto"/>
            <w:noWrap/>
          </w:tcPr>
          <w:p w14:paraId="6527226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-1.65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(-1.74 to -1.57)</w:t>
            </w:r>
          </w:p>
        </w:tc>
      </w:tr>
      <w:tr w14:paraId="58C7E55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6454DC6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26973EA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low in vegetables</w:t>
            </w:r>
          </w:p>
        </w:tc>
        <w:tc>
          <w:tcPr>
            <w:tcW w:w="1480" w:type="dxa"/>
            <w:tcBorders>
              <w:top w:val="nil"/>
              <w:left w:val="nil"/>
              <w:bottom w:val="nil"/>
              <w:right w:val="nil"/>
            </w:tcBorders>
            <w:shd w:val="clear" w:color="auto" w:fill="auto"/>
            <w:noWrap/>
          </w:tcPr>
          <w:p w14:paraId="134C004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1,773.39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(1,049.08 to 2,429.73)</w:t>
            </w:r>
          </w:p>
        </w:tc>
        <w:tc>
          <w:tcPr>
            <w:tcW w:w="1591" w:type="dxa"/>
            <w:tcBorders>
              <w:top w:val="nil"/>
              <w:left w:val="nil"/>
              <w:bottom w:val="nil"/>
              <w:right w:val="nil"/>
            </w:tcBorders>
            <w:shd w:val="clear" w:color="auto" w:fill="auto"/>
            <w:noWrap/>
          </w:tcPr>
          <w:p w14:paraId="65B2D18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12.73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(-0.50 to 35.64)</w:t>
            </w:r>
          </w:p>
        </w:tc>
        <w:tc>
          <w:tcPr>
            <w:tcW w:w="1369" w:type="dxa"/>
            <w:tcBorders>
              <w:top w:val="nil"/>
              <w:left w:val="nil"/>
              <w:bottom w:val="nil"/>
              <w:right w:val="nil"/>
            </w:tcBorders>
            <w:shd w:val="clear" w:color="auto" w:fill="auto"/>
            <w:noWrap/>
          </w:tcPr>
          <w:p w14:paraId="181CCA9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87.17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(87.04 to 87.3)</w:t>
            </w:r>
          </w:p>
        </w:tc>
        <w:tc>
          <w:tcPr>
            <w:tcW w:w="1480" w:type="dxa"/>
            <w:tcBorders>
              <w:top w:val="nil"/>
              <w:left w:val="nil"/>
              <w:bottom w:val="nil"/>
              <w:right w:val="nil"/>
            </w:tcBorders>
            <w:shd w:val="clear" w:color="auto" w:fill="auto"/>
            <w:noWrap/>
          </w:tcPr>
          <w:p w14:paraId="2394AC3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(-1.75 to -1.33)</w:t>
            </w:r>
          </w:p>
        </w:tc>
        <w:tc>
          <w:tcPr>
            <w:tcW w:w="1480" w:type="dxa"/>
            <w:tcBorders>
              <w:top w:val="nil"/>
              <w:left w:val="nil"/>
              <w:bottom w:val="nil"/>
              <w:right w:val="nil"/>
            </w:tcBorders>
            <w:shd w:val="clear" w:color="auto" w:fill="auto"/>
            <w:noWrap/>
          </w:tcPr>
          <w:p w14:paraId="199F9E0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32.74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(19.81 to 44.48)</w:t>
            </w:r>
          </w:p>
        </w:tc>
        <w:tc>
          <w:tcPr>
            <w:tcW w:w="1480" w:type="dxa"/>
            <w:tcBorders>
              <w:top w:val="nil"/>
              <w:left w:val="nil"/>
              <w:bottom w:val="nil"/>
              <w:right w:val="nil"/>
            </w:tcBorders>
            <w:shd w:val="clear" w:color="auto" w:fill="auto"/>
            <w:noWrap/>
          </w:tcPr>
          <w:p w14:paraId="1B7D9F6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10.49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(-3.40 to 34.32)</w:t>
            </w:r>
          </w:p>
        </w:tc>
        <w:tc>
          <w:tcPr>
            <w:tcW w:w="1565" w:type="dxa"/>
            <w:tcBorders>
              <w:top w:val="nil"/>
              <w:left w:val="nil"/>
              <w:bottom w:val="nil"/>
              <w:right w:val="nil"/>
            </w:tcBorders>
            <w:shd w:val="clear" w:color="auto" w:fill="auto"/>
            <w:noWrap/>
          </w:tcPr>
          <w:p w14:paraId="3D57E7E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(1.59 to 1.62)</w:t>
            </w:r>
          </w:p>
        </w:tc>
        <w:tc>
          <w:tcPr>
            <w:tcW w:w="1488" w:type="dxa"/>
            <w:tcBorders>
              <w:top w:val="nil"/>
              <w:left w:val="nil"/>
              <w:bottom w:val="nil"/>
              <w:right w:val="nil"/>
            </w:tcBorders>
            <w:shd w:val="clear" w:color="auto" w:fill="auto"/>
            <w:noWrap/>
          </w:tcPr>
          <w:p w14:paraId="7067CA4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-1.66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(-1.88 to -1.44)</w:t>
            </w:r>
          </w:p>
        </w:tc>
      </w:tr>
      <w:tr w14:paraId="3EA2A32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07B591C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5BA60CA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low in legumes</w:t>
            </w:r>
          </w:p>
        </w:tc>
        <w:tc>
          <w:tcPr>
            <w:tcW w:w="1480" w:type="dxa"/>
            <w:tcBorders>
              <w:top w:val="nil"/>
              <w:left w:val="nil"/>
              <w:bottom w:val="nil"/>
              <w:right w:val="nil"/>
            </w:tcBorders>
            <w:shd w:val="clear" w:color="auto" w:fill="auto"/>
            <w:noWrap/>
          </w:tcPr>
          <w:p w14:paraId="0C3F631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565.09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(-520.14 to 1,345.70)</w:t>
            </w:r>
          </w:p>
        </w:tc>
        <w:tc>
          <w:tcPr>
            <w:tcW w:w="1591" w:type="dxa"/>
            <w:tcBorders>
              <w:top w:val="nil"/>
              <w:left w:val="nil"/>
              <w:bottom w:val="nil"/>
              <w:right w:val="nil"/>
            </w:tcBorders>
            <w:shd w:val="clear" w:color="auto" w:fill="auto"/>
            <w:noWrap/>
          </w:tcPr>
          <w:p w14:paraId="76C8503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12.90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(-0.08 to 25.56)</w:t>
            </w:r>
          </w:p>
        </w:tc>
        <w:tc>
          <w:tcPr>
            <w:tcW w:w="1369" w:type="dxa"/>
            <w:tcBorders>
              <w:top w:val="nil"/>
              <w:left w:val="nil"/>
              <w:bottom w:val="nil"/>
              <w:right w:val="nil"/>
            </w:tcBorders>
            <w:shd w:val="clear" w:color="auto" w:fill="auto"/>
            <w:noWrap/>
          </w:tcPr>
          <w:p w14:paraId="7DB9AA3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27.76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(27.69 to 27.83)</w:t>
            </w:r>
          </w:p>
        </w:tc>
        <w:tc>
          <w:tcPr>
            <w:tcW w:w="1480" w:type="dxa"/>
            <w:tcBorders>
              <w:top w:val="nil"/>
              <w:left w:val="nil"/>
              <w:bottom w:val="nil"/>
              <w:right w:val="nil"/>
            </w:tcBorders>
            <w:shd w:val="clear" w:color="auto" w:fill="auto"/>
            <w:noWrap/>
          </w:tcPr>
          <w:p w14:paraId="56C4CDC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-1.62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(-1.71 to -1.53)</w:t>
            </w:r>
          </w:p>
        </w:tc>
        <w:tc>
          <w:tcPr>
            <w:tcW w:w="1480" w:type="dxa"/>
            <w:tcBorders>
              <w:top w:val="nil"/>
              <w:left w:val="nil"/>
              <w:bottom w:val="nil"/>
              <w:right w:val="nil"/>
            </w:tcBorders>
            <w:shd w:val="clear" w:color="auto" w:fill="auto"/>
            <w:noWrap/>
          </w:tcPr>
          <w:p w14:paraId="571779F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11.41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(-10.44 to 27.24)</w:t>
            </w:r>
          </w:p>
        </w:tc>
        <w:tc>
          <w:tcPr>
            <w:tcW w:w="1480" w:type="dxa"/>
            <w:tcBorders>
              <w:top w:val="nil"/>
              <w:left w:val="nil"/>
              <w:bottom w:val="nil"/>
              <w:right w:val="nil"/>
            </w:tcBorders>
            <w:shd w:val="clear" w:color="auto" w:fill="auto"/>
            <w:noWrap/>
          </w:tcPr>
          <w:p w14:paraId="3AAE48A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14.35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(1.42 to 27.09)</w:t>
            </w:r>
          </w:p>
        </w:tc>
        <w:tc>
          <w:tcPr>
            <w:tcW w:w="1565" w:type="dxa"/>
            <w:tcBorders>
              <w:top w:val="nil"/>
              <w:left w:val="nil"/>
              <w:bottom w:val="nil"/>
              <w:right w:val="nil"/>
            </w:tcBorders>
            <w:shd w:val="clear" w:color="auto" w:fill="auto"/>
            <w:noWrap/>
          </w:tcPr>
          <w:p w14:paraId="4B250AC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0.56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(0.55 to 0.57)</w:t>
            </w:r>
          </w:p>
        </w:tc>
        <w:tc>
          <w:tcPr>
            <w:tcW w:w="1488" w:type="dxa"/>
            <w:tcBorders>
              <w:top w:val="nil"/>
              <w:left w:val="nil"/>
              <w:bottom w:val="nil"/>
              <w:right w:val="nil"/>
            </w:tcBorders>
            <w:shd w:val="clear" w:color="auto" w:fill="auto"/>
            <w:noWrap/>
          </w:tcPr>
          <w:p w14:paraId="671C2AC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-1.64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(-1.74 to -1.54)</w:t>
            </w:r>
          </w:p>
        </w:tc>
      </w:tr>
      <w:tr w14:paraId="6082EA3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005A279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1DACF76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low in whole grains</w:t>
            </w:r>
          </w:p>
        </w:tc>
        <w:tc>
          <w:tcPr>
            <w:tcW w:w="1480" w:type="dxa"/>
            <w:tcBorders>
              <w:top w:val="nil"/>
              <w:left w:val="nil"/>
              <w:bottom w:val="nil"/>
              <w:right w:val="nil"/>
            </w:tcBorders>
            <w:shd w:val="clear" w:color="auto" w:fill="auto"/>
            <w:noWrap/>
          </w:tcPr>
          <w:p w14:paraId="0F9C5C2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2,811.39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(1,043.58 to 4,265.66)</w:t>
            </w:r>
          </w:p>
        </w:tc>
        <w:tc>
          <w:tcPr>
            <w:tcW w:w="1591" w:type="dxa"/>
            <w:tcBorders>
              <w:top w:val="nil"/>
              <w:left w:val="nil"/>
              <w:bottom w:val="nil"/>
              <w:right w:val="nil"/>
            </w:tcBorders>
            <w:shd w:val="clear" w:color="auto" w:fill="auto"/>
            <w:noWrap/>
          </w:tcPr>
          <w:p w14:paraId="7C88005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41.83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(28.43 to 55.92)</w:t>
            </w:r>
          </w:p>
        </w:tc>
        <w:tc>
          <w:tcPr>
            <w:tcW w:w="1369" w:type="dxa"/>
            <w:tcBorders>
              <w:top w:val="nil"/>
              <w:left w:val="nil"/>
              <w:bottom w:val="nil"/>
              <w:right w:val="nil"/>
            </w:tcBorders>
            <w:shd w:val="clear" w:color="auto" w:fill="auto"/>
            <w:noWrap/>
          </w:tcPr>
          <w:p w14:paraId="0881B79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138.2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(138.04 to 138.36)</w:t>
            </w:r>
          </w:p>
        </w:tc>
        <w:tc>
          <w:tcPr>
            <w:tcW w:w="1480" w:type="dxa"/>
            <w:tcBorders>
              <w:top w:val="nil"/>
              <w:left w:val="nil"/>
              <w:bottom w:val="nil"/>
              <w:right w:val="nil"/>
            </w:tcBorders>
            <w:shd w:val="clear" w:color="auto" w:fill="auto"/>
            <w:noWrap/>
          </w:tcPr>
          <w:p w14:paraId="736DC9E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-0.85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(-0.92 to -0.79)</w:t>
            </w:r>
          </w:p>
        </w:tc>
        <w:tc>
          <w:tcPr>
            <w:tcW w:w="1480" w:type="dxa"/>
            <w:tcBorders>
              <w:top w:val="nil"/>
              <w:left w:val="nil"/>
              <w:bottom w:val="nil"/>
              <w:right w:val="nil"/>
            </w:tcBorders>
            <w:shd w:val="clear" w:color="auto" w:fill="auto"/>
            <w:noWrap/>
          </w:tcPr>
          <w:p w14:paraId="55E7111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46.98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(22.60 to 67.69)</w:t>
            </w:r>
          </w:p>
        </w:tc>
        <w:tc>
          <w:tcPr>
            <w:tcW w:w="1480" w:type="dxa"/>
            <w:tcBorders>
              <w:top w:val="nil"/>
              <w:left w:val="nil"/>
              <w:bottom w:val="nil"/>
              <w:right w:val="nil"/>
            </w:tcBorders>
            <w:shd w:val="clear" w:color="auto" w:fill="auto"/>
            <w:noWrap/>
          </w:tcPr>
          <w:p w14:paraId="1C874A2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30.68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(17.14 to 45.68)</w:t>
            </w:r>
          </w:p>
        </w:tc>
        <w:tc>
          <w:tcPr>
            <w:tcW w:w="1565" w:type="dxa"/>
            <w:tcBorders>
              <w:top w:val="nil"/>
              <w:left w:val="nil"/>
              <w:bottom w:val="nil"/>
              <w:right w:val="nil"/>
            </w:tcBorders>
            <w:shd w:val="clear" w:color="auto" w:fill="auto"/>
            <w:noWrap/>
          </w:tcPr>
          <w:p w14:paraId="0D34160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(2.28 to 2.32)</w:t>
            </w:r>
          </w:p>
        </w:tc>
        <w:tc>
          <w:tcPr>
            <w:tcW w:w="1488" w:type="dxa"/>
            <w:tcBorders>
              <w:top w:val="nil"/>
              <w:left w:val="nil"/>
              <w:bottom w:val="nil"/>
              <w:right w:val="nil"/>
            </w:tcBorders>
            <w:shd w:val="clear" w:color="auto" w:fill="auto"/>
            <w:noWrap/>
          </w:tcPr>
          <w:p w14:paraId="223EDBC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(-1.27 to -1.12)</w:t>
            </w:r>
          </w:p>
        </w:tc>
      </w:tr>
      <w:tr w14:paraId="2DB49EB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19610AC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3AE7BF0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low in nuts and seeds</w:t>
            </w:r>
          </w:p>
        </w:tc>
        <w:tc>
          <w:tcPr>
            <w:tcW w:w="1480" w:type="dxa"/>
            <w:tcBorders>
              <w:top w:val="nil"/>
              <w:left w:val="nil"/>
              <w:bottom w:val="nil"/>
              <w:right w:val="nil"/>
            </w:tcBorders>
            <w:shd w:val="clear" w:color="auto" w:fill="auto"/>
            <w:noWrap/>
          </w:tcPr>
          <w:p w14:paraId="67991D2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1,224.61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(415.91 to 1,918.85)</w:t>
            </w:r>
          </w:p>
        </w:tc>
        <w:tc>
          <w:tcPr>
            <w:tcW w:w="1591" w:type="dxa"/>
            <w:tcBorders>
              <w:top w:val="nil"/>
              <w:left w:val="nil"/>
              <w:bottom w:val="nil"/>
              <w:right w:val="nil"/>
            </w:tcBorders>
            <w:shd w:val="clear" w:color="auto" w:fill="auto"/>
            <w:noWrap/>
          </w:tcPr>
          <w:p w14:paraId="77FF58C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8.77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(-5.04 to 23.72)</w:t>
            </w:r>
          </w:p>
        </w:tc>
        <w:tc>
          <w:tcPr>
            <w:tcW w:w="1369" w:type="dxa"/>
            <w:tcBorders>
              <w:top w:val="nil"/>
              <w:left w:val="nil"/>
              <w:bottom w:val="nil"/>
              <w:right w:val="nil"/>
            </w:tcBorders>
            <w:shd w:val="clear" w:color="auto" w:fill="auto"/>
            <w:noWrap/>
          </w:tcPr>
          <w:p w14:paraId="19FE73D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60.24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(60.14 to 60.35)</w:t>
            </w:r>
          </w:p>
        </w:tc>
        <w:tc>
          <w:tcPr>
            <w:tcW w:w="1480" w:type="dxa"/>
            <w:tcBorders>
              <w:top w:val="nil"/>
              <w:left w:val="nil"/>
              <w:bottom w:val="nil"/>
              <w:right w:val="nil"/>
            </w:tcBorders>
            <w:shd w:val="clear" w:color="auto" w:fill="auto"/>
            <w:noWrap/>
          </w:tcPr>
          <w:p w14:paraId="51AE979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-1.68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(-1.76 to -1.59)</w:t>
            </w:r>
          </w:p>
        </w:tc>
        <w:tc>
          <w:tcPr>
            <w:tcW w:w="1480" w:type="dxa"/>
            <w:tcBorders>
              <w:top w:val="nil"/>
              <w:left w:val="nil"/>
              <w:bottom w:val="nil"/>
              <w:right w:val="nil"/>
            </w:tcBorders>
            <w:shd w:val="clear" w:color="auto" w:fill="auto"/>
            <w:noWrap/>
          </w:tcPr>
          <w:p w14:paraId="31FAFE5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24.60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(8.31 to 38.66)</w:t>
            </w:r>
          </w:p>
        </w:tc>
        <w:tc>
          <w:tcPr>
            <w:tcW w:w="1480" w:type="dxa"/>
            <w:tcBorders>
              <w:top w:val="nil"/>
              <w:left w:val="nil"/>
              <w:bottom w:val="nil"/>
              <w:right w:val="nil"/>
            </w:tcBorders>
            <w:shd w:val="clear" w:color="auto" w:fill="auto"/>
            <w:noWrap/>
          </w:tcPr>
          <w:p w14:paraId="04FCDC3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10.04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(-3.60 to 25.55)</w:t>
            </w:r>
          </w:p>
        </w:tc>
        <w:tc>
          <w:tcPr>
            <w:tcW w:w="1565" w:type="dxa"/>
            <w:tcBorders>
              <w:top w:val="nil"/>
              <w:left w:val="nil"/>
              <w:bottom w:val="nil"/>
              <w:right w:val="nil"/>
            </w:tcBorders>
            <w:shd w:val="clear" w:color="auto" w:fill="auto"/>
            <w:noWrap/>
          </w:tcPr>
          <w:p w14:paraId="7399578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(1.19 to 1.22)</w:t>
            </w:r>
          </w:p>
        </w:tc>
        <w:tc>
          <w:tcPr>
            <w:tcW w:w="1488" w:type="dxa"/>
            <w:tcBorders>
              <w:top w:val="nil"/>
              <w:left w:val="nil"/>
              <w:bottom w:val="nil"/>
              <w:right w:val="nil"/>
            </w:tcBorders>
            <w:shd w:val="clear" w:color="auto" w:fill="auto"/>
            <w:noWrap/>
          </w:tcPr>
          <w:p w14:paraId="5CBF308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(-1.79 to -1.6)</w:t>
            </w:r>
          </w:p>
        </w:tc>
      </w:tr>
      <w:tr w14:paraId="4999DF5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0539311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7E1C0C3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low in milk</w:t>
            </w:r>
          </w:p>
        </w:tc>
        <w:tc>
          <w:tcPr>
            <w:tcW w:w="1480" w:type="dxa"/>
            <w:tcBorders>
              <w:top w:val="nil"/>
              <w:left w:val="nil"/>
              <w:bottom w:val="nil"/>
              <w:right w:val="nil"/>
            </w:tcBorders>
            <w:shd w:val="clear" w:color="auto" w:fill="auto"/>
            <w:noWrap/>
          </w:tcPr>
          <w:p w14:paraId="150CF51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322.19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(85.38 to 529.22)</w:t>
            </w:r>
          </w:p>
        </w:tc>
        <w:tc>
          <w:tcPr>
            <w:tcW w:w="1591" w:type="dxa"/>
            <w:tcBorders>
              <w:top w:val="nil"/>
              <w:left w:val="nil"/>
              <w:bottom w:val="nil"/>
              <w:right w:val="nil"/>
            </w:tcBorders>
            <w:shd w:val="clear" w:color="auto" w:fill="auto"/>
            <w:noWrap/>
          </w:tcPr>
          <w:p w14:paraId="2D244BA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24.59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(6.13 to 52.80)</w:t>
            </w:r>
          </w:p>
        </w:tc>
        <w:tc>
          <w:tcPr>
            <w:tcW w:w="1369" w:type="dxa"/>
            <w:tcBorders>
              <w:top w:val="nil"/>
              <w:left w:val="nil"/>
              <w:bottom w:val="nil"/>
              <w:right w:val="nil"/>
            </w:tcBorders>
            <w:shd w:val="clear" w:color="auto" w:fill="auto"/>
            <w:noWrap/>
          </w:tcPr>
          <w:p w14:paraId="647711A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15.78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(15.72 to 15.83)</w:t>
            </w:r>
          </w:p>
        </w:tc>
        <w:tc>
          <w:tcPr>
            <w:tcW w:w="1480" w:type="dxa"/>
            <w:tcBorders>
              <w:top w:val="nil"/>
              <w:left w:val="nil"/>
              <w:bottom w:val="nil"/>
              <w:right w:val="nil"/>
            </w:tcBorders>
            <w:shd w:val="clear" w:color="auto" w:fill="auto"/>
            <w:noWrap/>
          </w:tcPr>
          <w:p w14:paraId="46ECC7D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(-1.41 to -1.18)</w:t>
            </w:r>
          </w:p>
        </w:tc>
        <w:tc>
          <w:tcPr>
            <w:tcW w:w="1480" w:type="dxa"/>
            <w:tcBorders>
              <w:top w:val="nil"/>
              <w:left w:val="nil"/>
              <w:bottom w:val="nil"/>
              <w:right w:val="nil"/>
            </w:tcBorders>
            <w:shd w:val="clear" w:color="auto" w:fill="auto"/>
            <w:noWrap/>
          </w:tcPr>
          <w:p w14:paraId="04BABE2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6.51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(1.72 to 10.70)</w:t>
            </w:r>
          </w:p>
        </w:tc>
        <w:tc>
          <w:tcPr>
            <w:tcW w:w="1480" w:type="dxa"/>
            <w:tcBorders>
              <w:top w:val="nil"/>
              <w:left w:val="nil"/>
              <w:bottom w:val="nil"/>
              <w:right w:val="nil"/>
            </w:tcBorders>
            <w:shd w:val="clear" w:color="auto" w:fill="auto"/>
            <w:noWrap/>
          </w:tcPr>
          <w:p w14:paraId="0B1E73A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25.61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(7.23 to 53.11)</w:t>
            </w:r>
          </w:p>
        </w:tc>
        <w:tc>
          <w:tcPr>
            <w:tcW w:w="1565" w:type="dxa"/>
            <w:tcBorders>
              <w:top w:val="nil"/>
              <w:left w:val="nil"/>
              <w:bottom w:val="nil"/>
              <w:right w:val="nil"/>
            </w:tcBorders>
            <w:shd w:val="clear" w:color="auto" w:fill="auto"/>
            <w:noWrap/>
          </w:tcPr>
          <w:p w14:paraId="2A46B29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0.32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(0.31 to 0.33)</w:t>
            </w:r>
          </w:p>
        </w:tc>
        <w:tc>
          <w:tcPr>
            <w:tcW w:w="1488" w:type="dxa"/>
            <w:tcBorders>
              <w:top w:val="nil"/>
              <w:left w:val="nil"/>
              <w:bottom w:val="nil"/>
              <w:right w:val="nil"/>
            </w:tcBorders>
            <w:shd w:val="clear" w:color="auto" w:fill="auto"/>
            <w:noWrap/>
          </w:tcPr>
          <w:p w14:paraId="753D3EA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(-1.45 to -1.22)</w:t>
            </w:r>
          </w:p>
        </w:tc>
      </w:tr>
      <w:tr w14:paraId="5E3817E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2F1AEA4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369B349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high in red meat</w:t>
            </w:r>
          </w:p>
        </w:tc>
        <w:tc>
          <w:tcPr>
            <w:tcW w:w="1480" w:type="dxa"/>
            <w:tcBorders>
              <w:top w:val="nil"/>
              <w:left w:val="nil"/>
              <w:bottom w:val="nil"/>
              <w:right w:val="nil"/>
            </w:tcBorders>
            <w:shd w:val="clear" w:color="auto" w:fill="auto"/>
            <w:noWrap/>
          </w:tcPr>
          <w:p w14:paraId="7B3D233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1,006.28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(-0.45 to 1,440.56)</w:t>
            </w:r>
          </w:p>
        </w:tc>
        <w:tc>
          <w:tcPr>
            <w:tcW w:w="1591" w:type="dxa"/>
            <w:tcBorders>
              <w:top w:val="nil"/>
              <w:left w:val="nil"/>
              <w:bottom w:val="nil"/>
              <w:right w:val="nil"/>
            </w:tcBorders>
            <w:shd w:val="clear" w:color="auto" w:fill="auto"/>
            <w:noWrap/>
          </w:tcPr>
          <w:p w14:paraId="737C4B0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194.05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(-1,886.49 to 1,106.06)</w:t>
            </w:r>
          </w:p>
        </w:tc>
        <w:tc>
          <w:tcPr>
            <w:tcW w:w="1369" w:type="dxa"/>
            <w:tcBorders>
              <w:top w:val="nil"/>
              <w:left w:val="nil"/>
              <w:bottom w:val="nil"/>
              <w:right w:val="nil"/>
            </w:tcBorders>
            <w:shd w:val="clear" w:color="auto" w:fill="auto"/>
            <w:noWrap/>
          </w:tcPr>
          <w:p w14:paraId="0256E37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49.23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(49.13 to 49.33)</w:t>
            </w:r>
          </w:p>
        </w:tc>
        <w:tc>
          <w:tcPr>
            <w:tcW w:w="1480" w:type="dxa"/>
            <w:tcBorders>
              <w:top w:val="nil"/>
              <w:left w:val="nil"/>
              <w:bottom w:val="nil"/>
              <w:right w:val="nil"/>
            </w:tcBorders>
            <w:shd w:val="clear" w:color="auto" w:fill="auto"/>
            <w:noWrap/>
          </w:tcPr>
          <w:p w14:paraId="5A60642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(1.26 to 1.55)</w:t>
            </w:r>
          </w:p>
        </w:tc>
        <w:tc>
          <w:tcPr>
            <w:tcW w:w="1480" w:type="dxa"/>
            <w:tcBorders>
              <w:top w:val="nil"/>
              <w:left w:val="nil"/>
              <w:bottom w:val="nil"/>
              <w:right w:val="nil"/>
            </w:tcBorders>
            <w:shd w:val="clear" w:color="auto" w:fill="auto"/>
            <w:noWrap/>
          </w:tcPr>
          <w:p w14:paraId="3EEF20E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15.52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(-0.01 to 23.11)</w:t>
            </w:r>
          </w:p>
        </w:tc>
        <w:tc>
          <w:tcPr>
            <w:tcW w:w="1480" w:type="dxa"/>
            <w:tcBorders>
              <w:top w:val="nil"/>
              <w:left w:val="nil"/>
              <w:bottom w:val="nil"/>
              <w:right w:val="nil"/>
            </w:tcBorders>
            <w:shd w:val="clear" w:color="auto" w:fill="auto"/>
            <w:noWrap/>
          </w:tcPr>
          <w:p w14:paraId="76CE54F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141.47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(-1,152.34 to 1,072.15)</w:t>
            </w:r>
          </w:p>
        </w:tc>
        <w:tc>
          <w:tcPr>
            <w:tcW w:w="1565" w:type="dxa"/>
            <w:tcBorders>
              <w:top w:val="nil"/>
              <w:left w:val="nil"/>
              <w:bottom w:val="nil"/>
              <w:right w:val="nil"/>
            </w:tcBorders>
            <w:shd w:val="clear" w:color="auto" w:fill="auto"/>
            <w:noWrap/>
          </w:tcPr>
          <w:p w14:paraId="649EB57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0.76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(0.74 to 0.77)</w:t>
            </w:r>
          </w:p>
        </w:tc>
        <w:tc>
          <w:tcPr>
            <w:tcW w:w="1488" w:type="dxa"/>
            <w:tcBorders>
              <w:top w:val="nil"/>
              <w:left w:val="nil"/>
              <w:bottom w:val="nil"/>
              <w:right w:val="nil"/>
            </w:tcBorders>
            <w:shd w:val="clear" w:color="auto" w:fill="auto"/>
            <w:noWrap/>
          </w:tcPr>
          <w:p w14:paraId="37A55EF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0.65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(0.46 to 0.83)</w:t>
            </w:r>
          </w:p>
        </w:tc>
      </w:tr>
      <w:tr w14:paraId="50D891D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28FA807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2D1E425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high in processed meat</w:t>
            </w:r>
          </w:p>
        </w:tc>
        <w:tc>
          <w:tcPr>
            <w:tcW w:w="1480" w:type="dxa"/>
            <w:tcBorders>
              <w:top w:val="nil"/>
              <w:left w:val="nil"/>
              <w:bottom w:val="nil"/>
              <w:right w:val="nil"/>
            </w:tcBorders>
            <w:shd w:val="clear" w:color="auto" w:fill="auto"/>
            <w:noWrap/>
          </w:tcPr>
          <w:p w14:paraId="7CE50FB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807.84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(187.49 to 1,396.28)</w:t>
            </w:r>
          </w:p>
        </w:tc>
        <w:tc>
          <w:tcPr>
            <w:tcW w:w="1591" w:type="dxa"/>
            <w:tcBorders>
              <w:top w:val="nil"/>
              <w:left w:val="nil"/>
              <w:bottom w:val="nil"/>
              <w:right w:val="nil"/>
            </w:tcBorders>
            <w:shd w:val="clear" w:color="auto" w:fill="auto"/>
            <w:noWrap/>
          </w:tcPr>
          <w:p w14:paraId="7A9A1F6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107.49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(83.59 to 131.71)</w:t>
            </w:r>
          </w:p>
        </w:tc>
        <w:tc>
          <w:tcPr>
            <w:tcW w:w="1369" w:type="dxa"/>
            <w:tcBorders>
              <w:top w:val="nil"/>
              <w:left w:val="nil"/>
              <w:bottom w:val="nil"/>
              <w:right w:val="nil"/>
            </w:tcBorders>
            <w:shd w:val="clear" w:color="auto" w:fill="auto"/>
            <w:noWrap/>
          </w:tcPr>
          <w:p w14:paraId="05B3869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39.67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(39.58 to 39.76)</w:t>
            </w:r>
          </w:p>
        </w:tc>
        <w:tc>
          <w:tcPr>
            <w:tcW w:w="1480" w:type="dxa"/>
            <w:tcBorders>
              <w:top w:val="nil"/>
              <w:left w:val="nil"/>
              <w:bottom w:val="nil"/>
              <w:right w:val="nil"/>
            </w:tcBorders>
            <w:shd w:val="clear" w:color="auto" w:fill="auto"/>
            <w:noWrap/>
          </w:tcPr>
          <w:p w14:paraId="533E1B8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(-0.13 to 0.24)</w:t>
            </w:r>
          </w:p>
        </w:tc>
        <w:tc>
          <w:tcPr>
            <w:tcW w:w="1480" w:type="dxa"/>
            <w:tcBorders>
              <w:top w:val="nil"/>
              <w:left w:val="nil"/>
              <w:bottom w:val="nil"/>
              <w:right w:val="nil"/>
            </w:tcBorders>
            <w:shd w:val="clear" w:color="auto" w:fill="auto"/>
            <w:noWrap/>
          </w:tcPr>
          <w:p w14:paraId="10B3D6E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7.77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(1.42 to 13.23)</w:t>
            </w:r>
          </w:p>
        </w:tc>
        <w:tc>
          <w:tcPr>
            <w:tcW w:w="1480" w:type="dxa"/>
            <w:tcBorders>
              <w:top w:val="nil"/>
              <w:left w:val="nil"/>
              <w:bottom w:val="nil"/>
              <w:right w:val="nil"/>
            </w:tcBorders>
            <w:shd w:val="clear" w:color="auto" w:fill="auto"/>
            <w:noWrap/>
          </w:tcPr>
          <w:p w14:paraId="5E47235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34.79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(19.32 to 47.97)</w:t>
            </w:r>
          </w:p>
        </w:tc>
        <w:tc>
          <w:tcPr>
            <w:tcW w:w="1565" w:type="dxa"/>
            <w:tcBorders>
              <w:top w:val="nil"/>
              <w:left w:val="nil"/>
              <w:bottom w:val="nil"/>
              <w:right w:val="nil"/>
            </w:tcBorders>
            <w:shd w:val="clear" w:color="auto" w:fill="auto"/>
            <w:noWrap/>
          </w:tcPr>
          <w:p w14:paraId="6A24BEB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0.38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(0.37 to 0.39)</w:t>
            </w:r>
          </w:p>
        </w:tc>
        <w:tc>
          <w:tcPr>
            <w:tcW w:w="1488" w:type="dxa"/>
            <w:tcBorders>
              <w:top w:val="nil"/>
              <w:left w:val="nil"/>
              <w:bottom w:val="nil"/>
              <w:right w:val="nil"/>
            </w:tcBorders>
            <w:shd w:val="clear" w:color="auto" w:fill="auto"/>
            <w:noWrap/>
          </w:tcPr>
          <w:p w14:paraId="1EB6409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-1.61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(-1.93 to -1.3)</w:t>
            </w:r>
          </w:p>
        </w:tc>
      </w:tr>
      <w:tr w14:paraId="3A8557A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1F6076D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52BB1E3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high in sugar-sweetened beverages</w:t>
            </w:r>
          </w:p>
        </w:tc>
        <w:tc>
          <w:tcPr>
            <w:tcW w:w="1480" w:type="dxa"/>
            <w:tcBorders>
              <w:top w:val="nil"/>
              <w:left w:val="nil"/>
              <w:bottom w:val="nil"/>
              <w:right w:val="nil"/>
            </w:tcBorders>
            <w:shd w:val="clear" w:color="auto" w:fill="auto"/>
            <w:noWrap/>
          </w:tcPr>
          <w:p w14:paraId="6F83329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416.56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(194.68 to 652.90)</w:t>
            </w:r>
          </w:p>
        </w:tc>
        <w:tc>
          <w:tcPr>
            <w:tcW w:w="1591" w:type="dxa"/>
            <w:tcBorders>
              <w:top w:val="nil"/>
              <w:left w:val="nil"/>
              <w:bottom w:val="nil"/>
              <w:right w:val="nil"/>
            </w:tcBorders>
            <w:shd w:val="clear" w:color="auto" w:fill="auto"/>
            <w:noWrap/>
          </w:tcPr>
          <w:p w14:paraId="1737D7E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272.69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(229.63 to 324.47)</w:t>
            </w:r>
          </w:p>
        </w:tc>
        <w:tc>
          <w:tcPr>
            <w:tcW w:w="1369" w:type="dxa"/>
            <w:tcBorders>
              <w:top w:val="nil"/>
              <w:left w:val="nil"/>
              <w:bottom w:val="nil"/>
              <w:right w:val="nil"/>
            </w:tcBorders>
            <w:shd w:val="clear" w:color="auto" w:fill="auto"/>
            <w:noWrap/>
          </w:tcPr>
          <w:p w14:paraId="546313E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20.52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(20.46 to 20.58)</w:t>
            </w:r>
          </w:p>
        </w:tc>
        <w:tc>
          <w:tcPr>
            <w:tcW w:w="1480" w:type="dxa"/>
            <w:tcBorders>
              <w:top w:val="nil"/>
              <w:left w:val="nil"/>
              <w:bottom w:val="nil"/>
              <w:right w:val="nil"/>
            </w:tcBorders>
            <w:shd w:val="clear" w:color="auto" w:fill="auto"/>
            <w:noWrap/>
          </w:tcPr>
          <w:p w14:paraId="78008F3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2.52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(2.44 to 2.61)</w:t>
            </w:r>
          </w:p>
        </w:tc>
        <w:tc>
          <w:tcPr>
            <w:tcW w:w="1480" w:type="dxa"/>
            <w:tcBorders>
              <w:top w:val="nil"/>
              <w:left w:val="nil"/>
              <w:bottom w:val="nil"/>
              <w:right w:val="nil"/>
            </w:tcBorders>
            <w:shd w:val="clear" w:color="auto" w:fill="auto"/>
            <w:noWrap/>
          </w:tcPr>
          <w:p w14:paraId="48821CB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2.94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(1.19 to 4.67)</w:t>
            </w:r>
          </w:p>
        </w:tc>
        <w:tc>
          <w:tcPr>
            <w:tcW w:w="1480" w:type="dxa"/>
            <w:tcBorders>
              <w:top w:val="nil"/>
              <w:left w:val="nil"/>
              <w:bottom w:val="nil"/>
              <w:right w:val="nil"/>
            </w:tcBorders>
            <w:shd w:val="clear" w:color="auto" w:fill="auto"/>
            <w:noWrap/>
          </w:tcPr>
          <w:p w14:paraId="4293C70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145.27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(118.67 to 182.25)</w:t>
            </w:r>
          </w:p>
        </w:tc>
        <w:tc>
          <w:tcPr>
            <w:tcW w:w="1565" w:type="dxa"/>
            <w:tcBorders>
              <w:top w:val="nil"/>
              <w:left w:val="nil"/>
              <w:bottom w:val="nil"/>
              <w:right w:val="nil"/>
            </w:tcBorders>
            <w:shd w:val="clear" w:color="auto" w:fill="auto"/>
            <w:noWrap/>
          </w:tcPr>
          <w:p w14:paraId="3A476D1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0.14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(0.14 to 0.15)</w:t>
            </w:r>
          </w:p>
        </w:tc>
        <w:tc>
          <w:tcPr>
            <w:tcW w:w="1488" w:type="dxa"/>
            <w:tcBorders>
              <w:top w:val="nil"/>
              <w:left w:val="nil"/>
              <w:bottom w:val="nil"/>
              <w:right w:val="nil"/>
            </w:tcBorders>
            <w:shd w:val="clear" w:color="auto" w:fill="auto"/>
            <w:noWrap/>
          </w:tcPr>
          <w:p w14:paraId="6131473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0.94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(0.79 to 1.1)</w:t>
            </w:r>
          </w:p>
        </w:tc>
      </w:tr>
      <w:tr w14:paraId="3B6F73D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2881741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09508EC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low in fiber</w:t>
            </w:r>
          </w:p>
        </w:tc>
        <w:tc>
          <w:tcPr>
            <w:tcW w:w="1480" w:type="dxa"/>
            <w:tcBorders>
              <w:top w:val="nil"/>
              <w:left w:val="nil"/>
              <w:bottom w:val="nil"/>
              <w:right w:val="nil"/>
            </w:tcBorders>
            <w:shd w:val="clear" w:color="auto" w:fill="auto"/>
            <w:noWrap/>
          </w:tcPr>
          <w:p w14:paraId="7282F12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1,715.47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(524.02 to 2,725.31)</w:t>
            </w:r>
          </w:p>
        </w:tc>
        <w:tc>
          <w:tcPr>
            <w:tcW w:w="1591" w:type="dxa"/>
            <w:tcBorders>
              <w:top w:val="nil"/>
              <w:left w:val="nil"/>
              <w:bottom w:val="nil"/>
              <w:right w:val="nil"/>
            </w:tcBorders>
            <w:shd w:val="clear" w:color="auto" w:fill="auto"/>
            <w:noWrap/>
          </w:tcPr>
          <w:p w14:paraId="246AB5E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-5.58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(-20.15 to 19.82)</w:t>
            </w:r>
          </w:p>
        </w:tc>
        <w:tc>
          <w:tcPr>
            <w:tcW w:w="1369" w:type="dxa"/>
            <w:tcBorders>
              <w:top w:val="nil"/>
              <w:left w:val="nil"/>
              <w:bottom w:val="nil"/>
              <w:right w:val="nil"/>
            </w:tcBorders>
            <w:shd w:val="clear" w:color="auto" w:fill="auto"/>
            <w:noWrap/>
          </w:tcPr>
          <w:p w14:paraId="2CD1D44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(84.38 to 84.63)</w:t>
            </w:r>
          </w:p>
        </w:tc>
        <w:tc>
          <w:tcPr>
            <w:tcW w:w="1480" w:type="dxa"/>
            <w:tcBorders>
              <w:top w:val="nil"/>
              <w:left w:val="nil"/>
              <w:bottom w:val="nil"/>
              <w:right w:val="nil"/>
            </w:tcBorders>
            <w:shd w:val="clear" w:color="auto" w:fill="auto"/>
            <w:noWrap/>
          </w:tcPr>
          <w:p w14:paraId="08CAAFA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-2.16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(-2.28 to -2.03)</w:t>
            </w:r>
          </w:p>
        </w:tc>
        <w:tc>
          <w:tcPr>
            <w:tcW w:w="1480" w:type="dxa"/>
            <w:tcBorders>
              <w:top w:val="nil"/>
              <w:left w:val="nil"/>
              <w:bottom w:val="nil"/>
              <w:right w:val="nil"/>
            </w:tcBorders>
            <w:shd w:val="clear" w:color="auto" w:fill="auto"/>
            <w:noWrap/>
          </w:tcPr>
          <w:p w14:paraId="62C20C3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31.30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(10.10 to 49.12)</w:t>
            </w:r>
          </w:p>
        </w:tc>
        <w:tc>
          <w:tcPr>
            <w:tcW w:w="1480" w:type="dxa"/>
            <w:tcBorders>
              <w:top w:val="nil"/>
              <w:left w:val="nil"/>
              <w:bottom w:val="nil"/>
              <w:right w:val="nil"/>
            </w:tcBorders>
            <w:shd w:val="clear" w:color="auto" w:fill="auto"/>
            <w:noWrap/>
          </w:tcPr>
          <w:p w14:paraId="495B4C5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-7.30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(-22.10 to 18.25)</w:t>
            </w:r>
          </w:p>
        </w:tc>
        <w:tc>
          <w:tcPr>
            <w:tcW w:w="1565" w:type="dxa"/>
            <w:tcBorders>
              <w:top w:val="nil"/>
              <w:left w:val="nil"/>
              <w:bottom w:val="nil"/>
              <w:right w:val="nil"/>
            </w:tcBorders>
            <w:shd w:val="clear" w:color="auto" w:fill="auto"/>
            <w:noWrap/>
          </w:tcPr>
          <w:p w14:paraId="4E8C351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(1.52 to 1.55)</w:t>
            </w:r>
          </w:p>
        </w:tc>
        <w:tc>
          <w:tcPr>
            <w:tcW w:w="1488" w:type="dxa"/>
            <w:tcBorders>
              <w:top w:val="nil"/>
              <w:left w:val="nil"/>
              <w:bottom w:val="nil"/>
              <w:right w:val="nil"/>
            </w:tcBorders>
            <w:shd w:val="clear" w:color="auto" w:fill="auto"/>
            <w:noWrap/>
          </w:tcPr>
          <w:p w14:paraId="73DE8A6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-2.27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(-2.38 to -2.15)</w:t>
            </w:r>
          </w:p>
        </w:tc>
      </w:tr>
      <w:tr w14:paraId="56892C1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DBBFFC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704F8A9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low in calcium</w:t>
            </w:r>
          </w:p>
        </w:tc>
        <w:tc>
          <w:tcPr>
            <w:tcW w:w="1480" w:type="dxa"/>
            <w:tcBorders>
              <w:top w:val="nil"/>
              <w:left w:val="nil"/>
              <w:bottom w:val="nil"/>
              <w:right w:val="nil"/>
            </w:tcBorders>
            <w:shd w:val="clear" w:color="auto" w:fill="auto"/>
            <w:noWrap/>
          </w:tcPr>
          <w:p w14:paraId="3684D03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209.57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(150.75 to 264.05)</w:t>
            </w:r>
          </w:p>
        </w:tc>
        <w:tc>
          <w:tcPr>
            <w:tcW w:w="1591" w:type="dxa"/>
            <w:tcBorders>
              <w:top w:val="nil"/>
              <w:left w:val="nil"/>
              <w:bottom w:val="nil"/>
              <w:right w:val="nil"/>
            </w:tcBorders>
            <w:shd w:val="clear" w:color="auto" w:fill="auto"/>
            <w:noWrap/>
          </w:tcPr>
          <w:p w14:paraId="2035D17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4.58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(-12.48 to 32.03)</w:t>
            </w:r>
          </w:p>
        </w:tc>
        <w:tc>
          <w:tcPr>
            <w:tcW w:w="1369" w:type="dxa"/>
            <w:tcBorders>
              <w:top w:val="nil"/>
              <w:left w:val="nil"/>
              <w:bottom w:val="nil"/>
              <w:right w:val="nil"/>
            </w:tcBorders>
            <w:shd w:val="clear" w:color="auto" w:fill="auto"/>
            <w:noWrap/>
          </w:tcPr>
          <w:p w14:paraId="4BB0734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10.27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(10.23 to 10.32)</w:t>
            </w:r>
          </w:p>
        </w:tc>
        <w:tc>
          <w:tcPr>
            <w:tcW w:w="1480" w:type="dxa"/>
            <w:tcBorders>
              <w:top w:val="nil"/>
              <w:left w:val="nil"/>
              <w:bottom w:val="nil"/>
              <w:right w:val="nil"/>
            </w:tcBorders>
            <w:shd w:val="clear" w:color="auto" w:fill="auto"/>
            <w:noWrap/>
          </w:tcPr>
          <w:p w14:paraId="4B43507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-1.87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(-1.97 to -1.78)</w:t>
            </w:r>
          </w:p>
        </w:tc>
        <w:tc>
          <w:tcPr>
            <w:tcW w:w="1480" w:type="dxa"/>
            <w:tcBorders>
              <w:top w:val="nil"/>
              <w:left w:val="nil"/>
              <w:bottom w:val="nil"/>
              <w:right w:val="nil"/>
            </w:tcBorders>
            <w:shd w:val="clear" w:color="auto" w:fill="auto"/>
            <w:noWrap/>
          </w:tcPr>
          <w:p w14:paraId="7072F81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4.23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(3.04 to 5.32)</w:t>
            </w:r>
          </w:p>
        </w:tc>
        <w:tc>
          <w:tcPr>
            <w:tcW w:w="1480" w:type="dxa"/>
            <w:tcBorders>
              <w:top w:val="nil"/>
              <w:left w:val="nil"/>
              <w:bottom w:val="nil"/>
              <w:right w:val="nil"/>
            </w:tcBorders>
            <w:shd w:val="clear" w:color="auto" w:fill="auto"/>
            <w:noWrap/>
          </w:tcPr>
          <w:p w14:paraId="05A464C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6.07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(-11.17 to 33.46)</w:t>
            </w:r>
          </w:p>
        </w:tc>
        <w:tc>
          <w:tcPr>
            <w:tcW w:w="1565" w:type="dxa"/>
            <w:tcBorders>
              <w:top w:val="nil"/>
              <w:left w:val="nil"/>
              <w:bottom w:val="nil"/>
              <w:right w:val="nil"/>
            </w:tcBorders>
            <w:shd w:val="clear" w:color="auto" w:fill="auto"/>
            <w:noWrap/>
          </w:tcPr>
          <w:p w14:paraId="0EBBA2E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0.21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(0.2 to 0.21)</w:t>
            </w:r>
          </w:p>
        </w:tc>
        <w:tc>
          <w:tcPr>
            <w:tcW w:w="1488" w:type="dxa"/>
            <w:tcBorders>
              <w:top w:val="nil"/>
              <w:left w:val="nil"/>
              <w:bottom w:val="nil"/>
              <w:right w:val="nil"/>
            </w:tcBorders>
            <w:shd w:val="clear" w:color="auto" w:fill="auto"/>
            <w:noWrap/>
          </w:tcPr>
          <w:p w14:paraId="4F64512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-1.87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(-1.99 to -1.75)</w:t>
            </w:r>
          </w:p>
        </w:tc>
      </w:tr>
      <w:tr w14:paraId="6D40060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676D44A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65F05DE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low in seafood omega-3 fatty acids</w:t>
            </w:r>
          </w:p>
        </w:tc>
        <w:tc>
          <w:tcPr>
            <w:tcW w:w="1480" w:type="dxa"/>
            <w:tcBorders>
              <w:top w:val="nil"/>
              <w:left w:val="nil"/>
              <w:bottom w:val="nil"/>
              <w:right w:val="nil"/>
            </w:tcBorders>
            <w:shd w:val="clear" w:color="auto" w:fill="auto"/>
            <w:noWrap/>
          </w:tcPr>
          <w:p w14:paraId="514FB54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1,423.28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(329.99 to 2,261.59)</w:t>
            </w:r>
          </w:p>
        </w:tc>
        <w:tc>
          <w:tcPr>
            <w:tcW w:w="1591" w:type="dxa"/>
            <w:tcBorders>
              <w:top w:val="nil"/>
              <w:left w:val="nil"/>
              <w:bottom w:val="nil"/>
              <w:right w:val="nil"/>
            </w:tcBorders>
            <w:shd w:val="clear" w:color="auto" w:fill="auto"/>
            <w:noWrap/>
          </w:tcPr>
          <w:p w14:paraId="79E9FB0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7.38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(-6.19 to 20.42)</w:t>
            </w:r>
          </w:p>
        </w:tc>
        <w:tc>
          <w:tcPr>
            <w:tcW w:w="1369" w:type="dxa"/>
            <w:tcBorders>
              <w:top w:val="nil"/>
              <w:left w:val="nil"/>
              <w:bottom w:val="nil"/>
              <w:right w:val="nil"/>
            </w:tcBorders>
            <w:shd w:val="clear" w:color="auto" w:fill="auto"/>
            <w:noWrap/>
          </w:tcPr>
          <w:p w14:paraId="2050D32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69.97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(69.86 to 70.09)</w:t>
            </w:r>
          </w:p>
        </w:tc>
        <w:tc>
          <w:tcPr>
            <w:tcW w:w="1480" w:type="dxa"/>
            <w:tcBorders>
              <w:top w:val="nil"/>
              <w:left w:val="nil"/>
              <w:bottom w:val="nil"/>
              <w:right w:val="nil"/>
            </w:tcBorders>
            <w:shd w:val="clear" w:color="auto" w:fill="auto"/>
            <w:noWrap/>
          </w:tcPr>
          <w:p w14:paraId="57C23AB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(-1.81 to -1.66)</w:t>
            </w:r>
          </w:p>
        </w:tc>
        <w:tc>
          <w:tcPr>
            <w:tcW w:w="1480" w:type="dxa"/>
            <w:tcBorders>
              <w:top w:val="nil"/>
              <w:left w:val="nil"/>
              <w:bottom w:val="nil"/>
              <w:right w:val="nil"/>
            </w:tcBorders>
            <w:shd w:val="clear" w:color="auto" w:fill="auto"/>
            <w:noWrap/>
          </w:tcPr>
          <w:p w14:paraId="51526DD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28.67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(6.63 to 45.72)</w:t>
            </w:r>
          </w:p>
        </w:tc>
        <w:tc>
          <w:tcPr>
            <w:tcW w:w="1480" w:type="dxa"/>
            <w:tcBorders>
              <w:top w:val="nil"/>
              <w:left w:val="nil"/>
              <w:bottom w:val="nil"/>
              <w:right w:val="nil"/>
            </w:tcBorders>
            <w:shd w:val="clear" w:color="auto" w:fill="auto"/>
            <w:noWrap/>
          </w:tcPr>
          <w:p w14:paraId="624DC81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8.66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(-5.14 to 21.50)</w:t>
            </w:r>
          </w:p>
        </w:tc>
        <w:tc>
          <w:tcPr>
            <w:tcW w:w="1565" w:type="dxa"/>
            <w:tcBorders>
              <w:top w:val="nil"/>
              <w:left w:val="nil"/>
              <w:bottom w:val="nil"/>
              <w:right w:val="nil"/>
            </w:tcBorders>
            <w:shd w:val="clear" w:color="auto" w:fill="auto"/>
            <w:noWrap/>
          </w:tcPr>
          <w:p w14:paraId="5D032B5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(1.39 to 1.42)</w:t>
            </w:r>
          </w:p>
        </w:tc>
        <w:tc>
          <w:tcPr>
            <w:tcW w:w="1488" w:type="dxa"/>
            <w:tcBorders>
              <w:top w:val="nil"/>
              <w:left w:val="nil"/>
              <w:bottom w:val="nil"/>
              <w:right w:val="nil"/>
            </w:tcBorders>
            <w:shd w:val="clear" w:color="auto" w:fill="auto"/>
            <w:noWrap/>
          </w:tcPr>
          <w:p w14:paraId="5DA3BAB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-1.76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(-1.83 to -1.68)</w:t>
            </w:r>
          </w:p>
        </w:tc>
      </w:tr>
      <w:tr w14:paraId="1055C26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4C352AA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2EB2A50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low in omega-6 polyunsaturated fatty acids</w:t>
            </w:r>
          </w:p>
        </w:tc>
        <w:tc>
          <w:tcPr>
            <w:tcW w:w="1480" w:type="dxa"/>
            <w:tcBorders>
              <w:top w:val="nil"/>
              <w:left w:val="nil"/>
              <w:bottom w:val="nil"/>
              <w:right w:val="nil"/>
            </w:tcBorders>
            <w:shd w:val="clear" w:color="auto" w:fill="auto"/>
            <w:noWrap/>
          </w:tcPr>
          <w:p w14:paraId="1672059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1,186.41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(-4,707.00 to 4,271.06)</w:t>
            </w:r>
          </w:p>
        </w:tc>
        <w:tc>
          <w:tcPr>
            <w:tcW w:w="1591" w:type="dxa"/>
            <w:tcBorders>
              <w:top w:val="nil"/>
              <w:left w:val="nil"/>
              <w:bottom w:val="nil"/>
              <w:right w:val="nil"/>
            </w:tcBorders>
            <w:shd w:val="clear" w:color="auto" w:fill="auto"/>
            <w:noWrap/>
          </w:tcPr>
          <w:p w14:paraId="2F4E2C7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31.34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(14.74 to 46.48)</w:t>
            </w:r>
          </w:p>
        </w:tc>
        <w:tc>
          <w:tcPr>
            <w:tcW w:w="1369" w:type="dxa"/>
            <w:tcBorders>
              <w:top w:val="nil"/>
              <w:left w:val="nil"/>
              <w:bottom w:val="nil"/>
              <w:right w:val="nil"/>
            </w:tcBorders>
            <w:shd w:val="clear" w:color="auto" w:fill="auto"/>
            <w:noWrap/>
          </w:tcPr>
          <w:p w14:paraId="650D395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58.27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(58.16 to 58.37)</w:t>
            </w:r>
          </w:p>
        </w:tc>
        <w:tc>
          <w:tcPr>
            <w:tcW w:w="1480" w:type="dxa"/>
            <w:tcBorders>
              <w:top w:val="nil"/>
              <w:left w:val="nil"/>
              <w:bottom w:val="nil"/>
              <w:right w:val="nil"/>
            </w:tcBorders>
            <w:shd w:val="clear" w:color="auto" w:fill="auto"/>
            <w:noWrap/>
          </w:tcPr>
          <w:p w14:paraId="475E4D9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(-1.08 to -0.97)</w:t>
            </w:r>
          </w:p>
        </w:tc>
        <w:tc>
          <w:tcPr>
            <w:tcW w:w="1480" w:type="dxa"/>
            <w:tcBorders>
              <w:top w:val="nil"/>
              <w:left w:val="nil"/>
              <w:bottom w:val="nil"/>
              <w:right w:val="nil"/>
            </w:tcBorders>
            <w:shd w:val="clear" w:color="auto" w:fill="auto"/>
            <w:noWrap/>
          </w:tcPr>
          <w:p w14:paraId="07D4A66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23.96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(-94.43 to 86.15)</w:t>
            </w:r>
          </w:p>
        </w:tc>
        <w:tc>
          <w:tcPr>
            <w:tcW w:w="1480" w:type="dxa"/>
            <w:tcBorders>
              <w:top w:val="nil"/>
              <w:left w:val="nil"/>
              <w:bottom w:val="nil"/>
              <w:right w:val="nil"/>
            </w:tcBorders>
            <w:shd w:val="clear" w:color="auto" w:fill="auto"/>
            <w:noWrap/>
          </w:tcPr>
          <w:p w14:paraId="03FF940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33.02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(16.21 to 48.13)</w:t>
            </w:r>
          </w:p>
        </w:tc>
        <w:tc>
          <w:tcPr>
            <w:tcW w:w="1565" w:type="dxa"/>
            <w:tcBorders>
              <w:top w:val="nil"/>
              <w:left w:val="nil"/>
              <w:bottom w:val="nil"/>
              <w:right w:val="nil"/>
            </w:tcBorders>
            <w:shd w:val="clear" w:color="auto" w:fill="auto"/>
            <w:noWrap/>
          </w:tcPr>
          <w:p w14:paraId="7EDDD01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(1.16 to 1.19)</w:t>
            </w:r>
          </w:p>
        </w:tc>
        <w:tc>
          <w:tcPr>
            <w:tcW w:w="1488" w:type="dxa"/>
            <w:tcBorders>
              <w:top w:val="nil"/>
              <w:left w:val="nil"/>
              <w:bottom w:val="nil"/>
              <w:right w:val="nil"/>
            </w:tcBorders>
            <w:shd w:val="clear" w:color="auto" w:fill="auto"/>
            <w:noWrap/>
          </w:tcPr>
          <w:p w14:paraId="1E85DC0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 to -0.99)</w:t>
            </w:r>
          </w:p>
        </w:tc>
      </w:tr>
      <w:tr w14:paraId="7CFF2DC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450F60B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79FE96B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high in trans fatty acids</w:t>
            </w:r>
          </w:p>
        </w:tc>
        <w:tc>
          <w:tcPr>
            <w:tcW w:w="1480" w:type="dxa"/>
            <w:tcBorders>
              <w:top w:val="nil"/>
              <w:left w:val="nil"/>
              <w:bottom w:val="nil"/>
              <w:right w:val="nil"/>
            </w:tcBorders>
            <w:shd w:val="clear" w:color="auto" w:fill="auto"/>
            <w:noWrap/>
          </w:tcPr>
          <w:p w14:paraId="36E8A77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205.05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(20.79 to 421.45)</w:t>
            </w:r>
          </w:p>
        </w:tc>
        <w:tc>
          <w:tcPr>
            <w:tcW w:w="1591" w:type="dxa"/>
            <w:tcBorders>
              <w:top w:val="nil"/>
              <w:left w:val="nil"/>
              <w:bottom w:val="nil"/>
              <w:right w:val="nil"/>
            </w:tcBorders>
            <w:shd w:val="clear" w:color="auto" w:fill="auto"/>
            <w:noWrap/>
          </w:tcPr>
          <w:p w14:paraId="166DA16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-19.76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(-41.99 to 7.93)</w:t>
            </w:r>
          </w:p>
        </w:tc>
        <w:tc>
          <w:tcPr>
            <w:tcW w:w="1369" w:type="dxa"/>
            <w:tcBorders>
              <w:top w:val="nil"/>
              <w:left w:val="nil"/>
              <w:bottom w:val="nil"/>
              <w:right w:val="nil"/>
            </w:tcBorders>
            <w:shd w:val="clear" w:color="auto" w:fill="auto"/>
            <w:noWrap/>
          </w:tcPr>
          <w:p w14:paraId="06D5BB1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10.09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(10.04 to 10.13)</w:t>
            </w:r>
          </w:p>
        </w:tc>
        <w:tc>
          <w:tcPr>
            <w:tcW w:w="1480" w:type="dxa"/>
            <w:tcBorders>
              <w:top w:val="nil"/>
              <w:left w:val="nil"/>
              <w:bottom w:val="nil"/>
              <w:right w:val="nil"/>
            </w:tcBorders>
            <w:shd w:val="clear" w:color="auto" w:fill="auto"/>
            <w:noWrap/>
          </w:tcPr>
          <w:p w14:paraId="507756E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-2.94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(-3.24 to -2.64)</w:t>
            </w:r>
          </w:p>
        </w:tc>
        <w:tc>
          <w:tcPr>
            <w:tcW w:w="1480" w:type="dxa"/>
            <w:tcBorders>
              <w:top w:val="nil"/>
              <w:left w:val="nil"/>
              <w:bottom w:val="nil"/>
              <w:right w:val="nil"/>
            </w:tcBorders>
            <w:shd w:val="clear" w:color="auto" w:fill="auto"/>
            <w:noWrap/>
          </w:tcPr>
          <w:p w14:paraId="0D4E4EF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4.13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(0.41 to 8.50)</w:t>
            </w:r>
          </w:p>
        </w:tc>
        <w:tc>
          <w:tcPr>
            <w:tcW w:w="1480" w:type="dxa"/>
            <w:tcBorders>
              <w:top w:val="nil"/>
              <w:left w:val="nil"/>
              <w:bottom w:val="nil"/>
              <w:right w:val="nil"/>
            </w:tcBorders>
            <w:shd w:val="clear" w:color="auto" w:fill="auto"/>
            <w:noWrap/>
          </w:tcPr>
          <w:p w14:paraId="1038FCA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-19.25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(-42.57 to 11.35)</w:t>
            </w:r>
          </w:p>
        </w:tc>
        <w:tc>
          <w:tcPr>
            <w:tcW w:w="1565" w:type="dxa"/>
            <w:tcBorders>
              <w:top w:val="nil"/>
              <w:left w:val="nil"/>
              <w:bottom w:val="nil"/>
              <w:right w:val="nil"/>
            </w:tcBorders>
            <w:shd w:val="clear" w:color="auto" w:fill="auto"/>
            <w:noWrap/>
          </w:tcPr>
          <w:p w14:paraId="75425E9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(0.2 to 0.21)</w:t>
            </w:r>
          </w:p>
        </w:tc>
        <w:tc>
          <w:tcPr>
            <w:tcW w:w="1488" w:type="dxa"/>
            <w:tcBorders>
              <w:top w:val="nil"/>
              <w:left w:val="nil"/>
              <w:bottom w:val="nil"/>
              <w:right w:val="nil"/>
            </w:tcBorders>
            <w:shd w:val="clear" w:color="auto" w:fill="auto"/>
            <w:noWrap/>
          </w:tcPr>
          <w:p w14:paraId="0E34070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-2.96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(-3.26 to -2.66)</w:t>
            </w:r>
          </w:p>
        </w:tc>
      </w:tr>
      <w:tr w14:paraId="60AB2C4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648B092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44EACDF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Diet high in sodium</w:t>
            </w:r>
          </w:p>
        </w:tc>
        <w:tc>
          <w:tcPr>
            <w:tcW w:w="1480" w:type="dxa"/>
            <w:tcBorders>
              <w:top w:val="nil"/>
              <w:left w:val="nil"/>
              <w:bottom w:val="nil"/>
              <w:right w:val="nil"/>
            </w:tcBorders>
            <w:shd w:val="clear" w:color="auto" w:fill="auto"/>
            <w:noWrap/>
          </w:tcPr>
          <w:p w14:paraId="7EEBA04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1,148.97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(181.96 to 3,209.28)</w:t>
            </w:r>
          </w:p>
        </w:tc>
        <w:tc>
          <w:tcPr>
            <w:tcW w:w="1591" w:type="dxa"/>
            <w:tcBorders>
              <w:top w:val="nil"/>
              <w:left w:val="nil"/>
              <w:bottom w:val="nil"/>
              <w:right w:val="nil"/>
            </w:tcBorders>
            <w:shd w:val="clear" w:color="auto" w:fill="auto"/>
            <w:noWrap/>
          </w:tcPr>
          <w:p w14:paraId="30704B5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-8.01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(-48.26 to 13.28)</w:t>
            </w:r>
          </w:p>
        </w:tc>
        <w:tc>
          <w:tcPr>
            <w:tcW w:w="1369" w:type="dxa"/>
            <w:tcBorders>
              <w:top w:val="nil"/>
              <w:left w:val="nil"/>
              <w:bottom w:val="nil"/>
              <w:right w:val="nil"/>
            </w:tcBorders>
            <w:shd w:val="clear" w:color="auto" w:fill="auto"/>
            <w:noWrap/>
          </w:tcPr>
          <w:p w14:paraId="5F07EF9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55.93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(55.83 to 56.04)</w:t>
            </w:r>
          </w:p>
        </w:tc>
        <w:tc>
          <w:tcPr>
            <w:tcW w:w="1480" w:type="dxa"/>
            <w:tcBorders>
              <w:top w:val="nil"/>
              <w:left w:val="nil"/>
              <w:bottom w:val="nil"/>
              <w:right w:val="nil"/>
            </w:tcBorders>
            <w:shd w:val="clear" w:color="auto" w:fill="auto"/>
            <w:noWrap/>
          </w:tcPr>
          <w:p w14:paraId="4E7F9EF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-2.35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(-2.42 to -2.29)</w:t>
            </w:r>
          </w:p>
        </w:tc>
        <w:tc>
          <w:tcPr>
            <w:tcW w:w="1480" w:type="dxa"/>
            <w:tcBorders>
              <w:top w:val="nil"/>
              <w:left w:val="nil"/>
              <w:bottom w:val="nil"/>
              <w:right w:val="nil"/>
            </w:tcBorders>
            <w:shd w:val="clear" w:color="auto" w:fill="auto"/>
            <w:noWrap/>
          </w:tcPr>
          <w:p w14:paraId="11034B0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21.94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(3.29 to 60.50)</w:t>
            </w:r>
          </w:p>
        </w:tc>
        <w:tc>
          <w:tcPr>
            <w:tcW w:w="1480" w:type="dxa"/>
            <w:tcBorders>
              <w:top w:val="nil"/>
              <w:left w:val="nil"/>
              <w:bottom w:val="nil"/>
              <w:right w:val="nil"/>
            </w:tcBorders>
            <w:shd w:val="clear" w:color="auto" w:fill="auto"/>
            <w:noWrap/>
          </w:tcPr>
          <w:p w14:paraId="4661C30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-10.67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(-52.69 to 10.74)</w:t>
            </w:r>
          </w:p>
        </w:tc>
        <w:tc>
          <w:tcPr>
            <w:tcW w:w="1565" w:type="dxa"/>
            <w:tcBorders>
              <w:top w:val="nil"/>
              <w:left w:val="nil"/>
              <w:bottom w:val="nil"/>
              <w:right w:val="nil"/>
            </w:tcBorders>
            <w:shd w:val="clear" w:color="auto" w:fill="auto"/>
            <w:noWrap/>
          </w:tcPr>
          <w:p w14:paraId="2F82BC1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(1.05 to 1.08)</w:t>
            </w:r>
          </w:p>
        </w:tc>
        <w:tc>
          <w:tcPr>
            <w:tcW w:w="1488" w:type="dxa"/>
            <w:tcBorders>
              <w:top w:val="nil"/>
              <w:left w:val="nil"/>
              <w:bottom w:val="nil"/>
              <w:right w:val="nil"/>
            </w:tcBorders>
            <w:shd w:val="clear" w:color="auto" w:fill="auto"/>
            <w:noWrap/>
          </w:tcPr>
          <w:p w14:paraId="4576266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(-2.56 to -2.43)</w:t>
            </w:r>
          </w:p>
        </w:tc>
      </w:tr>
      <w:tr w14:paraId="5A4FD30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21CEA63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0FCB609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Intimate partner violence</w:t>
            </w:r>
          </w:p>
        </w:tc>
        <w:tc>
          <w:tcPr>
            <w:tcW w:w="1480" w:type="dxa"/>
            <w:tcBorders>
              <w:top w:val="nil"/>
              <w:left w:val="nil"/>
              <w:bottom w:val="nil"/>
              <w:right w:val="nil"/>
            </w:tcBorders>
            <w:shd w:val="clear" w:color="auto" w:fill="auto"/>
            <w:noWrap/>
          </w:tcPr>
          <w:p w14:paraId="0844C40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5,348.95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(3,046.44 to 7,905.83)</w:t>
            </w:r>
          </w:p>
        </w:tc>
        <w:tc>
          <w:tcPr>
            <w:tcW w:w="1591" w:type="dxa"/>
            <w:tcBorders>
              <w:top w:val="nil"/>
              <w:left w:val="nil"/>
              <w:bottom w:val="nil"/>
              <w:right w:val="nil"/>
            </w:tcBorders>
            <w:shd w:val="clear" w:color="auto" w:fill="auto"/>
            <w:noWrap/>
          </w:tcPr>
          <w:p w14:paraId="5120946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37.67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(18.35 to 55.18)</w:t>
            </w:r>
          </w:p>
        </w:tc>
        <w:tc>
          <w:tcPr>
            <w:tcW w:w="1369" w:type="dxa"/>
            <w:tcBorders>
              <w:top w:val="nil"/>
              <w:left w:val="nil"/>
              <w:bottom w:val="nil"/>
              <w:right w:val="nil"/>
            </w:tcBorders>
            <w:shd w:val="clear" w:color="auto" w:fill="auto"/>
            <w:noWrap/>
          </w:tcPr>
          <w:p w14:paraId="69EA5A8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272.08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(271.85 to 272.31)</w:t>
            </w:r>
          </w:p>
        </w:tc>
        <w:tc>
          <w:tcPr>
            <w:tcW w:w="1480" w:type="dxa"/>
            <w:tcBorders>
              <w:top w:val="nil"/>
              <w:left w:val="nil"/>
              <w:bottom w:val="nil"/>
              <w:right w:val="nil"/>
            </w:tcBorders>
            <w:shd w:val="clear" w:color="auto" w:fill="auto"/>
            <w:noWrap/>
          </w:tcPr>
          <w:p w14:paraId="5E9F095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(-2.01 to -0.6)</w:t>
            </w:r>
          </w:p>
        </w:tc>
        <w:tc>
          <w:tcPr>
            <w:tcW w:w="1480" w:type="dxa"/>
            <w:tcBorders>
              <w:top w:val="nil"/>
              <w:left w:val="nil"/>
              <w:bottom w:val="nil"/>
              <w:right w:val="nil"/>
            </w:tcBorders>
            <w:shd w:val="clear" w:color="auto" w:fill="auto"/>
            <w:noWrap/>
          </w:tcPr>
          <w:p w14:paraId="163524F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44.66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(31.27 to 58.43)</w:t>
            </w:r>
          </w:p>
        </w:tc>
        <w:tc>
          <w:tcPr>
            <w:tcW w:w="1480" w:type="dxa"/>
            <w:tcBorders>
              <w:top w:val="nil"/>
              <w:left w:val="nil"/>
              <w:bottom w:val="nil"/>
              <w:right w:val="nil"/>
            </w:tcBorders>
            <w:shd w:val="clear" w:color="auto" w:fill="auto"/>
            <w:noWrap/>
          </w:tcPr>
          <w:p w14:paraId="0FD80EF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29.93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(7.07 to 57.61)</w:t>
            </w:r>
          </w:p>
        </w:tc>
        <w:tc>
          <w:tcPr>
            <w:tcW w:w="1565" w:type="dxa"/>
            <w:tcBorders>
              <w:top w:val="nil"/>
              <w:left w:val="nil"/>
              <w:bottom w:val="nil"/>
              <w:right w:val="nil"/>
            </w:tcBorders>
            <w:shd w:val="clear" w:color="auto" w:fill="auto"/>
            <w:noWrap/>
          </w:tcPr>
          <w:p w14:paraId="6EC20D0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2.26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(2.24 to 2.28)</w:t>
            </w:r>
          </w:p>
        </w:tc>
        <w:tc>
          <w:tcPr>
            <w:tcW w:w="1488" w:type="dxa"/>
            <w:tcBorders>
              <w:top w:val="nil"/>
              <w:left w:val="nil"/>
              <w:bottom w:val="nil"/>
              <w:right w:val="nil"/>
            </w:tcBorders>
            <w:shd w:val="clear" w:color="auto" w:fill="auto"/>
            <w:noWrap/>
          </w:tcPr>
          <w:p w14:paraId="257A27A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-1.86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(-2.99 to -0.71)</w:t>
            </w:r>
          </w:p>
        </w:tc>
      </w:tr>
      <w:tr w14:paraId="7FF879B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435EED6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2BC6AE6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Sexual violence against children and bullying</w:t>
            </w:r>
          </w:p>
        </w:tc>
        <w:tc>
          <w:tcPr>
            <w:tcW w:w="1480" w:type="dxa"/>
            <w:tcBorders>
              <w:top w:val="nil"/>
              <w:left w:val="nil"/>
              <w:bottom w:val="nil"/>
              <w:right w:val="nil"/>
            </w:tcBorders>
            <w:shd w:val="clear" w:color="auto" w:fill="auto"/>
            <w:noWrap/>
          </w:tcPr>
          <w:p w14:paraId="001CCC4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2,945.02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(1,519.74 to 5,335.49)</w:t>
            </w:r>
          </w:p>
        </w:tc>
        <w:tc>
          <w:tcPr>
            <w:tcW w:w="1591" w:type="dxa"/>
            <w:tcBorders>
              <w:top w:val="nil"/>
              <w:left w:val="nil"/>
              <w:bottom w:val="nil"/>
              <w:right w:val="nil"/>
            </w:tcBorders>
            <w:shd w:val="clear" w:color="auto" w:fill="auto"/>
            <w:noWrap/>
          </w:tcPr>
          <w:p w14:paraId="6BD4AD9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59.71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(49.66 to 70.65)</w:t>
            </w:r>
          </w:p>
        </w:tc>
        <w:tc>
          <w:tcPr>
            <w:tcW w:w="1369" w:type="dxa"/>
            <w:tcBorders>
              <w:top w:val="nil"/>
              <w:left w:val="nil"/>
              <w:bottom w:val="nil"/>
              <w:right w:val="nil"/>
            </w:tcBorders>
            <w:shd w:val="clear" w:color="auto" w:fill="auto"/>
            <w:noWrap/>
          </w:tcPr>
          <w:p w14:paraId="591504E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154.08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(153.9 to 154.25)</w:t>
            </w:r>
          </w:p>
        </w:tc>
        <w:tc>
          <w:tcPr>
            <w:tcW w:w="1480" w:type="dxa"/>
            <w:tcBorders>
              <w:top w:val="nil"/>
              <w:left w:val="nil"/>
              <w:bottom w:val="nil"/>
              <w:right w:val="nil"/>
            </w:tcBorders>
            <w:shd w:val="clear" w:color="auto" w:fill="auto"/>
            <w:noWrap/>
          </w:tcPr>
          <w:p w14:paraId="1669E1D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0.37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(0.31 to 0.43)</w:t>
            </w:r>
          </w:p>
        </w:tc>
        <w:tc>
          <w:tcPr>
            <w:tcW w:w="1480" w:type="dxa"/>
            <w:tcBorders>
              <w:top w:val="nil"/>
              <w:left w:val="nil"/>
              <w:bottom w:val="nil"/>
              <w:right w:val="nil"/>
            </w:tcBorders>
            <w:shd w:val="clear" w:color="auto" w:fill="auto"/>
            <w:noWrap/>
          </w:tcPr>
          <w:p w14:paraId="770AD43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0.96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(0.15 to 2.07)</w:t>
            </w:r>
          </w:p>
        </w:tc>
        <w:tc>
          <w:tcPr>
            <w:tcW w:w="1480" w:type="dxa"/>
            <w:tcBorders>
              <w:top w:val="nil"/>
              <w:left w:val="nil"/>
              <w:bottom w:val="nil"/>
              <w:right w:val="nil"/>
            </w:tcBorders>
            <w:shd w:val="clear" w:color="auto" w:fill="auto"/>
            <w:noWrap/>
          </w:tcPr>
          <w:p w14:paraId="757C48A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26.08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(13.54 to 44.90)</w:t>
            </w:r>
          </w:p>
        </w:tc>
        <w:tc>
          <w:tcPr>
            <w:tcW w:w="1565" w:type="dxa"/>
            <w:tcBorders>
              <w:top w:val="nil"/>
              <w:left w:val="nil"/>
              <w:bottom w:val="nil"/>
              <w:right w:val="nil"/>
            </w:tcBorders>
            <w:shd w:val="clear" w:color="auto" w:fill="auto"/>
            <w:noWrap/>
          </w:tcPr>
          <w:p w14:paraId="3BFB0BB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(0.04 to 0.05)</w:t>
            </w:r>
          </w:p>
        </w:tc>
        <w:tc>
          <w:tcPr>
            <w:tcW w:w="1488" w:type="dxa"/>
            <w:tcBorders>
              <w:top w:val="nil"/>
              <w:left w:val="nil"/>
              <w:bottom w:val="nil"/>
              <w:right w:val="nil"/>
            </w:tcBorders>
            <w:shd w:val="clear" w:color="auto" w:fill="auto"/>
            <w:noWrap/>
          </w:tcPr>
          <w:p w14:paraId="28FCA95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-2.57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(-3.38 to -1.75)</w:t>
            </w:r>
          </w:p>
        </w:tc>
      </w:tr>
      <w:tr w14:paraId="19F211A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A6253E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2939601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Sexual violence against children</w:t>
            </w:r>
          </w:p>
        </w:tc>
        <w:tc>
          <w:tcPr>
            <w:tcW w:w="1480" w:type="dxa"/>
            <w:tcBorders>
              <w:top w:val="nil"/>
              <w:left w:val="nil"/>
              <w:bottom w:val="nil"/>
              <w:right w:val="nil"/>
            </w:tcBorders>
            <w:shd w:val="clear" w:color="auto" w:fill="auto"/>
            <w:noWrap/>
          </w:tcPr>
          <w:p w14:paraId="1929365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788.39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(417.39 to 1,290.19)</w:t>
            </w:r>
          </w:p>
        </w:tc>
        <w:tc>
          <w:tcPr>
            <w:tcW w:w="1591" w:type="dxa"/>
            <w:tcBorders>
              <w:top w:val="nil"/>
              <w:left w:val="nil"/>
              <w:bottom w:val="nil"/>
              <w:right w:val="nil"/>
            </w:tcBorders>
            <w:shd w:val="clear" w:color="auto" w:fill="auto"/>
            <w:noWrap/>
          </w:tcPr>
          <w:p w14:paraId="5D16807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41.67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(31.31 to 52.82)</w:t>
            </w:r>
          </w:p>
        </w:tc>
        <w:tc>
          <w:tcPr>
            <w:tcW w:w="1369" w:type="dxa"/>
            <w:tcBorders>
              <w:top w:val="nil"/>
              <w:left w:val="nil"/>
              <w:bottom w:val="nil"/>
              <w:right w:val="nil"/>
            </w:tcBorders>
            <w:shd w:val="clear" w:color="auto" w:fill="auto"/>
            <w:noWrap/>
          </w:tcPr>
          <w:p w14:paraId="434B65C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40.06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(39.97 to 40.14)</w:t>
            </w:r>
          </w:p>
        </w:tc>
        <w:tc>
          <w:tcPr>
            <w:tcW w:w="1480" w:type="dxa"/>
            <w:tcBorders>
              <w:top w:val="nil"/>
              <w:left w:val="nil"/>
              <w:bottom w:val="nil"/>
              <w:right w:val="nil"/>
            </w:tcBorders>
            <w:shd w:val="clear" w:color="auto" w:fill="auto"/>
            <w:noWrap/>
          </w:tcPr>
          <w:p w14:paraId="3E8BF8C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-0.49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(-0.62 to -0.37)</w:t>
            </w:r>
          </w:p>
        </w:tc>
        <w:tc>
          <w:tcPr>
            <w:tcW w:w="1480" w:type="dxa"/>
            <w:tcBorders>
              <w:top w:val="nil"/>
              <w:left w:val="nil"/>
              <w:bottom w:val="nil"/>
              <w:right w:val="nil"/>
            </w:tcBorders>
            <w:shd w:val="clear" w:color="auto" w:fill="auto"/>
            <w:noWrap/>
          </w:tcPr>
          <w:p w14:paraId="1AD4C03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0.96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(0.15 to 2.07)</w:t>
            </w:r>
          </w:p>
        </w:tc>
        <w:tc>
          <w:tcPr>
            <w:tcW w:w="1480" w:type="dxa"/>
            <w:tcBorders>
              <w:top w:val="nil"/>
              <w:left w:val="nil"/>
              <w:bottom w:val="nil"/>
              <w:right w:val="nil"/>
            </w:tcBorders>
            <w:shd w:val="clear" w:color="auto" w:fill="auto"/>
            <w:noWrap/>
          </w:tcPr>
          <w:p w14:paraId="6EDDEAF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26.08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(13.54 to 44.90)</w:t>
            </w:r>
          </w:p>
        </w:tc>
        <w:tc>
          <w:tcPr>
            <w:tcW w:w="1565" w:type="dxa"/>
            <w:tcBorders>
              <w:top w:val="nil"/>
              <w:left w:val="nil"/>
              <w:bottom w:val="nil"/>
              <w:right w:val="nil"/>
            </w:tcBorders>
            <w:shd w:val="clear" w:color="auto" w:fill="auto"/>
            <w:noWrap/>
          </w:tcPr>
          <w:p w14:paraId="528C1DC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(0.04 to 0.05)</w:t>
            </w:r>
          </w:p>
        </w:tc>
        <w:tc>
          <w:tcPr>
            <w:tcW w:w="1488" w:type="dxa"/>
            <w:tcBorders>
              <w:top w:val="nil"/>
              <w:left w:val="nil"/>
              <w:bottom w:val="nil"/>
              <w:right w:val="nil"/>
            </w:tcBorders>
            <w:shd w:val="clear" w:color="auto" w:fill="auto"/>
            <w:noWrap/>
          </w:tcPr>
          <w:p w14:paraId="645E8A7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-2.57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(-3.38 to -1.75)</w:t>
            </w:r>
          </w:p>
        </w:tc>
      </w:tr>
      <w:tr w14:paraId="7BEAB6E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69B1BA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w:t>
            </w:r>
          </w:p>
        </w:tc>
        <w:tc>
          <w:tcPr>
            <w:tcW w:w="1480" w:type="dxa"/>
            <w:tcBorders>
              <w:top w:val="nil"/>
              <w:left w:val="nil"/>
              <w:bottom w:val="nil"/>
              <w:right w:val="nil"/>
            </w:tcBorders>
            <w:shd w:val="clear" w:color="auto" w:fill="auto"/>
            <w:noWrap/>
          </w:tcPr>
          <w:p w14:paraId="3780275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Bullying victimization</w:t>
            </w:r>
          </w:p>
        </w:tc>
        <w:tc>
          <w:tcPr>
            <w:tcW w:w="1480" w:type="dxa"/>
            <w:tcBorders>
              <w:top w:val="nil"/>
              <w:left w:val="nil"/>
              <w:bottom w:val="nil"/>
              <w:right w:val="nil"/>
            </w:tcBorders>
            <w:shd w:val="clear" w:color="auto" w:fill="auto"/>
            <w:noWrap/>
          </w:tcPr>
          <w:p w14:paraId="4A72EB0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2,199.62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(891.14 to 4,478.97)</w:t>
            </w:r>
          </w:p>
        </w:tc>
        <w:tc>
          <w:tcPr>
            <w:tcW w:w="1591" w:type="dxa"/>
            <w:tcBorders>
              <w:top w:val="nil"/>
              <w:left w:val="nil"/>
              <w:bottom w:val="nil"/>
              <w:right w:val="nil"/>
            </w:tcBorders>
            <w:shd w:val="clear" w:color="auto" w:fill="auto"/>
            <w:noWrap/>
          </w:tcPr>
          <w:p w14:paraId="35AF805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67.00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(55.59 to 83.82)</w:t>
            </w:r>
          </w:p>
        </w:tc>
        <w:tc>
          <w:tcPr>
            <w:tcW w:w="1369" w:type="dxa"/>
            <w:tcBorders>
              <w:top w:val="nil"/>
              <w:left w:val="nil"/>
              <w:bottom w:val="nil"/>
              <w:right w:val="nil"/>
            </w:tcBorders>
            <w:shd w:val="clear" w:color="auto" w:fill="auto"/>
            <w:noWrap/>
          </w:tcPr>
          <w:p w14:paraId="28DBCC7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116.28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(116.12 to 116.43)</w:t>
            </w:r>
          </w:p>
        </w:tc>
        <w:tc>
          <w:tcPr>
            <w:tcW w:w="1480" w:type="dxa"/>
            <w:tcBorders>
              <w:top w:val="nil"/>
              <w:left w:val="nil"/>
              <w:bottom w:val="nil"/>
              <w:right w:val="nil"/>
            </w:tcBorders>
            <w:shd w:val="clear" w:color="auto" w:fill="auto"/>
            <w:noWrap/>
          </w:tcPr>
          <w:p w14:paraId="1340E8C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0.74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(0.7 to 0.78)</w:t>
            </w:r>
          </w:p>
        </w:tc>
        <w:tc>
          <w:tcPr>
            <w:tcW w:w="1480" w:type="dxa"/>
            <w:tcBorders>
              <w:top w:val="nil"/>
              <w:left w:val="nil"/>
              <w:bottom w:val="nil"/>
              <w:right w:val="nil"/>
            </w:tcBorders>
            <w:shd w:val="clear" w:color="auto" w:fill="auto"/>
            <w:noWrap/>
          </w:tcPr>
          <w:p w14:paraId="3C2EB618">
            <w:pPr>
              <w:jc w:val="center"/>
              <w:rPr>
                <w:rFonts w:ascii="Times New Roman" w:hAnsi="Times New Roman" w:cs="Times New Roman"/>
                <w:color w:val="000000"/>
                <w:sz w:val="20"/>
                <w:szCs w:val="20"/>
              </w:rPr>
            </w:pPr>
          </w:p>
        </w:tc>
        <w:tc>
          <w:tcPr>
            <w:tcW w:w="1480" w:type="dxa"/>
            <w:tcBorders>
              <w:top w:val="nil"/>
              <w:left w:val="nil"/>
              <w:bottom w:val="nil"/>
              <w:right w:val="nil"/>
            </w:tcBorders>
            <w:shd w:val="clear" w:color="auto" w:fill="auto"/>
            <w:noWrap/>
          </w:tcPr>
          <w:p w14:paraId="670C791A">
            <w:pPr>
              <w:jc w:val="center"/>
              <w:rPr>
                <w:rFonts w:ascii="Times New Roman" w:hAnsi="Times New Roman" w:cs="Times New Roman"/>
                <w:color w:val="000000"/>
                <w:sz w:val="20"/>
                <w:szCs w:val="20"/>
              </w:rPr>
            </w:pPr>
          </w:p>
        </w:tc>
        <w:tc>
          <w:tcPr>
            <w:tcW w:w="1565" w:type="dxa"/>
            <w:tcBorders>
              <w:top w:val="nil"/>
              <w:left w:val="nil"/>
              <w:bottom w:val="nil"/>
              <w:right w:val="nil"/>
            </w:tcBorders>
            <w:shd w:val="clear" w:color="auto" w:fill="auto"/>
            <w:noWrap/>
          </w:tcPr>
          <w:p w14:paraId="648ED819">
            <w:pPr>
              <w:jc w:val="center"/>
              <w:rPr>
                <w:rFonts w:ascii="Times New Roman" w:hAnsi="Times New Roman" w:cs="Times New Roman"/>
                <w:color w:val="000000"/>
                <w:sz w:val="20"/>
                <w:szCs w:val="20"/>
              </w:rPr>
            </w:pPr>
          </w:p>
        </w:tc>
        <w:tc>
          <w:tcPr>
            <w:tcW w:w="1488" w:type="dxa"/>
            <w:tcBorders>
              <w:top w:val="nil"/>
              <w:left w:val="nil"/>
              <w:bottom w:val="nil"/>
              <w:right w:val="nil"/>
            </w:tcBorders>
            <w:shd w:val="clear" w:color="auto" w:fill="auto"/>
            <w:noWrap/>
          </w:tcPr>
          <w:p w14:paraId="5705285F">
            <w:pPr>
              <w:jc w:val="center"/>
              <w:rPr>
                <w:rFonts w:ascii="Times New Roman" w:hAnsi="Times New Roman" w:cs="Times New Roman"/>
                <w:color w:val="000000"/>
                <w:sz w:val="20"/>
                <w:szCs w:val="20"/>
              </w:rPr>
            </w:pPr>
          </w:p>
        </w:tc>
      </w:tr>
      <w:tr w14:paraId="432FB61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67889F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0950FFD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Unsafe sex</w:t>
            </w:r>
          </w:p>
        </w:tc>
        <w:tc>
          <w:tcPr>
            <w:tcW w:w="1480" w:type="dxa"/>
            <w:tcBorders>
              <w:top w:val="nil"/>
              <w:left w:val="nil"/>
              <w:bottom w:val="nil"/>
              <w:right w:val="nil"/>
            </w:tcBorders>
            <w:shd w:val="clear" w:color="auto" w:fill="auto"/>
            <w:noWrap/>
          </w:tcPr>
          <w:p w14:paraId="037325B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19,836.87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(17,986.56 to 22,036.55)</w:t>
            </w:r>
          </w:p>
        </w:tc>
        <w:tc>
          <w:tcPr>
            <w:tcW w:w="1591" w:type="dxa"/>
            <w:tcBorders>
              <w:top w:val="nil"/>
              <w:left w:val="nil"/>
              <w:bottom w:val="nil"/>
              <w:right w:val="nil"/>
            </w:tcBorders>
            <w:shd w:val="clear" w:color="auto" w:fill="auto"/>
            <w:noWrap/>
          </w:tcPr>
          <w:p w14:paraId="737970D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94.18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(62.82 to 129.42)</w:t>
            </w:r>
          </w:p>
        </w:tc>
        <w:tc>
          <w:tcPr>
            <w:tcW w:w="1369" w:type="dxa"/>
            <w:tcBorders>
              <w:top w:val="nil"/>
              <w:left w:val="nil"/>
              <w:bottom w:val="nil"/>
              <w:right w:val="nil"/>
            </w:tcBorders>
            <w:shd w:val="clear" w:color="auto" w:fill="auto"/>
            <w:noWrap/>
          </w:tcPr>
          <w:p w14:paraId="14EB69F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999.5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(999.06 to 999.94)</w:t>
            </w:r>
          </w:p>
        </w:tc>
        <w:tc>
          <w:tcPr>
            <w:tcW w:w="1480" w:type="dxa"/>
            <w:tcBorders>
              <w:top w:val="nil"/>
              <w:left w:val="nil"/>
              <w:bottom w:val="nil"/>
              <w:right w:val="nil"/>
            </w:tcBorders>
            <w:shd w:val="clear" w:color="auto" w:fill="auto"/>
            <w:noWrap/>
          </w:tcPr>
          <w:p w14:paraId="264BD0B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-0.64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(-1.93 to 0.66)</w:t>
            </w:r>
          </w:p>
        </w:tc>
        <w:tc>
          <w:tcPr>
            <w:tcW w:w="1480" w:type="dxa"/>
            <w:tcBorders>
              <w:top w:val="nil"/>
              <w:left w:val="nil"/>
              <w:bottom w:val="nil"/>
              <w:right w:val="nil"/>
            </w:tcBorders>
            <w:shd w:val="clear" w:color="auto" w:fill="auto"/>
            <w:noWrap/>
          </w:tcPr>
          <w:p w14:paraId="4592BC9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326.05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(297.01 to 363.13)</w:t>
            </w:r>
          </w:p>
        </w:tc>
        <w:tc>
          <w:tcPr>
            <w:tcW w:w="1480" w:type="dxa"/>
            <w:tcBorders>
              <w:top w:val="nil"/>
              <w:left w:val="nil"/>
              <w:bottom w:val="nil"/>
              <w:right w:val="nil"/>
            </w:tcBorders>
            <w:shd w:val="clear" w:color="auto" w:fill="auto"/>
            <w:noWrap/>
          </w:tcPr>
          <w:p w14:paraId="295AE5D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91.56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(60.10 to 128.55)</w:t>
            </w:r>
          </w:p>
        </w:tc>
        <w:tc>
          <w:tcPr>
            <w:tcW w:w="1565" w:type="dxa"/>
            <w:tcBorders>
              <w:top w:val="nil"/>
              <w:left w:val="nil"/>
              <w:bottom w:val="nil"/>
              <w:right w:val="nil"/>
            </w:tcBorders>
            <w:shd w:val="clear" w:color="auto" w:fill="auto"/>
            <w:noWrap/>
          </w:tcPr>
          <w:p w14:paraId="1F2F7CC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16.34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(16.28 to 16.39)</w:t>
            </w:r>
          </w:p>
        </w:tc>
        <w:tc>
          <w:tcPr>
            <w:tcW w:w="1488" w:type="dxa"/>
            <w:tcBorders>
              <w:top w:val="nil"/>
              <w:left w:val="nil"/>
              <w:bottom w:val="nil"/>
              <w:right w:val="nil"/>
            </w:tcBorders>
            <w:shd w:val="clear" w:color="auto" w:fill="auto"/>
            <w:noWrap/>
          </w:tcPr>
          <w:p w14:paraId="7BD205A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-0.77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(-2.11 to 0.58)</w:t>
            </w:r>
          </w:p>
        </w:tc>
      </w:tr>
      <w:tr w14:paraId="2AE5503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1868F20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0D19214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Low physical activity</w:t>
            </w:r>
          </w:p>
        </w:tc>
        <w:tc>
          <w:tcPr>
            <w:tcW w:w="1480" w:type="dxa"/>
            <w:tcBorders>
              <w:top w:val="nil"/>
              <w:left w:val="nil"/>
              <w:bottom w:val="nil"/>
              <w:right w:val="nil"/>
            </w:tcBorders>
            <w:shd w:val="clear" w:color="auto" w:fill="auto"/>
            <w:noWrap/>
          </w:tcPr>
          <w:p w14:paraId="181E5F8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838.89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(380.75 to 1,281.98)</w:t>
            </w:r>
          </w:p>
        </w:tc>
        <w:tc>
          <w:tcPr>
            <w:tcW w:w="1591" w:type="dxa"/>
            <w:tcBorders>
              <w:top w:val="nil"/>
              <w:left w:val="nil"/>
              <w:bottom w:val="nil"/>
              <w:right w:val="nil"/>
            </w:tcBorders>
            <w:shd w:val="clear" w:color="auto" w:fill="auto"/>
            <w:noWrap/>
          </w:tcPr>
          <w:p w14:paraId="6042D95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87.85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(55.77 to 121.28)</w:t>
            </w:r>
          </w:p>
        </w:tc>
        <w:tc>
          <w:tcPr>
            <w:tcW w:w="1369" w:type="dxa"/>
            <w:tcBorders>
              <w:top w:val="nil"/>
              <w:left w:val="nil"/>
              <w:bottom w:val="nil"/>
              <w:right w:val="nil"/>
            </w:tcBorders>
            <w:shd w:val="clear" w:color="auto" w:fill="auto"/>
            <w:noWrap/>
          </w:tcPr>
          <w:p w14:paraId="7F98B3A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41.04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(40.95 to 41.13)</w:t>
            </w:r>
          </w:p>
        </w:tc>
        <w:tc>
          <w:tcPr>
            <w:tcW w:w="1480" w:type="dxa"/>
            <w:tcBorders>
              <w:top w:val="nil"/>
              <w:left w:val="nil"/>
              <w:bottom w:val="nil"/>
              <w:right w:val="nil"/>
            </w:tcBorders>
            <w:shd w:val="clear" w:color="auto" w:fill="auto"/>
            <w:noWrap/>
          </w:tcPr>
          <w:p w14:paraId="2030C75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0.09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(-0.06 to 0.25)</w:t>
            </w:r>
          </w:p>
        </w:tc>
        <w:tc>
          <w:tcPr>
            <w:tcW w:w="1480" w:type="dxa"/>
            <w:tcBorders>
              <w:top w:val="nil"/>
              <w:left w:val="nil"/>
              <w:bottom w:val="nil"/>
              <w:right w:val="nil"/>
            </w:tcBorders>
            <w:shd w:val="clear" w:color="auto" w:fill="auto"/>
            <w:noWrap/>
          </w:tcPr>
          <w:p w14:paraId="0A5D0F8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10.65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(5.00 to 16.16)</w:t>
            </w:r>
          </w:p>
        </w:tc>
        <w:tc>
          <w:tcPr>
            <w:tcW w:w="1480" w:type="dxa"/>
            <w:tcBorders>
              <w:top w:val="nil"/>
              <w:left w:val="nil"/>
              <w:bottom w:val="nil"/>
              <w:right w:val="nil"/>
            </w:tcBorders>
            <w:shd w:val="clear" w:color="auto" w:fill="auto"/>
            <w:noWrap/>
          </w:tcPr>
          <w:p w14:paraId="2F29989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55.31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(27.81 to 85.23)</w:t>
            </w:r>
          </w:p>
        </w:tc>
        <w:tc>
          <w:tcPr>
            <w:tcW w:w="1565" w:type="dxa"/>
            <w:tcBorders>
              <w:top w:val="nil"/>
              <w:left w:val="nil"/>
              <w:bottom w:val="nil"/>
              <w:right w:val="nil"/>
            </w:tcBorders>
            <w:shd w:val="clear" w:color="auto" w:fill="auto"/>
            <w:noWrap/>
          </w:tcPr>
          <w:p w14:paraId="69CFBDE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0.52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(0.51 to 0.53)</w:t>
            </w:r>
          </w:p>
        </w:tc>
        <w:tc>
          <w:tcPr>
            <w:tcW w:w="1488" w:type="dxa"/>
            <w:tcBorders>
              <w:top w:val="nil"/>
              <w:left w:val="nil"/>
              <w:bottom w:val="nil"/>
              <w:right w:val="nil"/>
            </w:tcBorders>
            <w:shd w:val="clear" w:color="auto" w:fill="auto"/>
            <w:noWrap/>
          </w:tcPr>
          <w:p w14:paraId="61B654E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-0.62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(-0.76 to -0.47)</w:t>
            </w:r>
          </w:p>
        </w:tc>
      </w:tr>
      <w:tr w14:paraId="78FC20B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3A43C77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w:t>
            </w:r>
          </w:p>
        </w:tc>
        <w:tc>
          <w:tcPr>
            <w:tcW w:w="1480" w:type="dxa"/>
            <w:tcBorders>
              <w:top w:val="nil"/>
              <w:left w:val="nil"/>
              <w:bottom w:val="nil"/>
              <w:right w:val="nil"/>
            </w:tcBorders>
            <w:shd w:val="clear" w:color="auto" w:fill="auto"/>
            <w:noWrap/>
          </w:tcPr>
          <w:p w14:paraId="5549015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Metabolic risks</w:t>
            </w:r>
          </w:p>
        </w:tc>
        <w:tc>
          <w:tcPr>
            <w:tcW w:w="1480" w:type="dxa"/>
            <w:tcBorders>
              <w:top w:val="nil"/>
              <w:left w:val="nil"/>
              <w:bottom w:val="nil"/>
              <w:right w:val="nil"/>
            </w:tcBorders>
            <w:shd w:val="clear" w:color="auto" w:fill="auto"/>
            <w:noWrap/>
          </w:tcPr>
          <w:p w14:paraId="6CC64FC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30,328.28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(24,377.10 to 36,176.84)</w:t>
            </w:r>
          </w:p>
        </w:tc>
        <w:tc>
          <w:tcPr>
            <w:tcW w:w="1591" w:type="dxa"/>
            <w:tcBorders>
              <w:top w:val="nil"/>
              <w:left w:val="nil"/>
              <w:bottom w:val="nil"/>
              <w:right w:val="nil"/>
            </w:tcBorders>
            <w:shd w:val="clear" w:color="auto" w:fill="auto"/>
            <w:noWrap/>
          </w:tcPr>
          <w:p w14:paraId="0EEEB2C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65.21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(51.86 to 79.42)</w:t>
            </w:r>
          </w:p>
        </w:tc>
        <w:tc>
          <w:tcPr>
            <w:tcW w:w="1369" w:type="dxa"/>
            <w:tcBorders>
              <w:top w:val="nil"/>
              <w:left w:val="nil"/>
              <w:bottom w:val="nil"/>
              <w:right w:val="nil"/>
            </w:tcBorders>
            <w:shd w:val="clear" w:color="auto" w:fill="auto"/>
            <w:noWrap/>
          </w:tcPr>
          <w:p w14:paraId="764E168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1499.49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(1498.95 to 1500.02)</w:t>
            </w:r>
          </w:p>
        </w:tc>
        <w:tc>
          <w:tcPr>
            <w:tcW w:w="1480" w:type="dxa"/>
            <w:tcBorders>
              <w:top w:val="nil"/>
              <w:left w:val="nil"/>
              <w:bottom w:val="nil"/>
              <w:right w:val="nil"/>
            </w:tcBorders>
            <w:shd w:val="clear" w:color="auto" w:fill="auto"/>
            <w:noWrap/>
          </w:tcPr>
          <w:p w14:paraId="2CC3DBE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-0.24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(-0.29 to -0.19)</w:t>
            </w:r>
          </w:p>
        </w:tc>
        <w:tc>
          <w:tcPr>
            <w:tcW w:w="1480" w:type="dxa"/>
            <w:tcBorders>
              <w:top w:val="nil"/>
              <w:left w:val="nil"/>
              <w:bottom w:val="nil"/>
              <w:right w:val="nil"/>
            </w:tcBorders>
            <w:shd w:val="clear" w:color="auto" w:fill="auto"/>
            <w:noWrap/>
          </w:tcPr>
          <w:p w14:paraId="70D87EF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383.87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(338.68 to 431.44)</w:t>
            </w:r>
          </w:p>
        </w:tc>
        <w:tc>
          <w:tcPr>
            <w:tcW w:w="1480" w:type="dxa"/>
            <w:tcBorders>
              <w:top w:val="nil"/>
              <w:left w:val="nil"/>
              <w:bottom w:val="nil"/>
              <w:right w:val="nil"/>
            </w:tcBorders>
            <w:shd w:val="clear" w:color="auto" w:fill="auto"/>
            <w:noWrap/>
          </w:tcPr>
          <w:p w14:paraId="3C8AC2B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41.69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(28.09 to 55.67)</w:t>
            </w:r>
          </w:p>
        </w:tc>
        <w:tc>
          <w:tcPr>
            <w:tcW w:w="1565" w:type="dxa"/>
            <w:tcBorders>
              <w:top w:val="nil"/>
              <w:left w:val="nil"/>
              <w:bottom w:val="nil"/>
              <w:right w:val="nil"/>
            </w:tcBorders>
            <w:shd w:val="clear" w:color="auto" w:fill="auto"/>
            <w:noWrap/>
          </w:tcPr>
          <w:p w14:paraId="325C8DF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18.85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(18.79 to 18.91)</w:t>
            </w:r>
          </w:p>
        </w:tc>
        <w:tc>
          <w:tcPr>
            <w:tcW w:w="1488" w:type="dxa"/>
            <w:tcBorders>
              <w:top w:val="nil"/>
              <w:left w:val="nil"/>
              <w:bottom w:val="nil"/>
              <w:right w:val="nil"/>
            </w:tcBorders>
            <w:shd w:val="clear" w:color="auto" w:fill="auto"/>
            <w:noWrap/>
          </w:tcPr>
          <w:p w14:paraId="23BF325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-0.86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(-0.93 to -0.8)</w:t>
            </w:r>
          </w:p>
        </w:tc>
      </w:tr>
      <w:tr w14:paraId="108C6F7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B8084F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0C78F7A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High fasting plasma glucose</w:t>
            </w:r>
          </w:p>
        </w:tc>
        <w:tc>
          <w:tcPr>
            <w:tcW w:w="1480" w:type="dxa"/>
            <w:tcBorders>
              <w:top w:val="nil"/>
              <w:left w:val="nil"/>
              <w:bottom w:val="nil"/>
              <w:right w:val="nil"/>
            </w:tcBorders>
            <w:shd w:val="clear" w:color="auto" w:fill="auto"/>
            <w:noWrap/>
          </w:tcPr>
          <w:p w14:paraId="17C297D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10,106.00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(8,113.22 to 12,345.68)</w:t>
            </w:r>
          </w:p>
        </w:tc>
        <w:tc>
          <w:tcPr>
            <w:tcW w:w="1591" w:type="dxa"/>
            <w:tcBorders>
              <w:top w:val="nil"/>
              <w:left w:val="nil"/>
              <w:bottom w:val="nil"/>
              <w:right w:val="nil"/>
            </w:tcBorders>
            <w:shd w:val="clear" w:color="auto" w:fill="auto"/>
            <w:noWrap/>
          </w:tcPr>
          <w:p w14:paraId="1F48E85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135.24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(116.42 to 153.12)</w:t>
            </w:r>
          </w:p>
        </w:tc>
        <w:tc>
          <w:tcPr>
            <w:tcW w:w="1369" w:type="dxa"/>
            <w:tcBorders>
              <w:top w:val="nil"/>
              <w:left w:val="nil"/>
              <w:bottom w:val="nil"/>
              <w:right w:val="nil"/>
            </w:tcBorders>
            <w:shd w:val="clear" w:color="auto" w:fill="auto"/>
            <w:noWrap/>
          </w:tcPr>
          <w:p w14:paraId="4B05BFB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500.09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(499.78 to 500.4)</w:t>
            </w:r>
          </w:p>
        </w:tc>
        <w:tc>
          <w:tcPr>
            <w:tcW w:w="1480" w:type="dxa"/>
            <w:tcBorders>
              <w:top w:val="nil"/>
              <w:left w:val="nil"/>
              <w:bottom w:val="nil"/>
              <w:right w:val="nil"/>
            </w:tcBorders>
            <w:shd w:val="clear" w:color="auto" w:fill="auto"/>
            <w:noWrap/>
          </w:tcPr>
          <w:p w14:paraId="3698000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0.93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(0.86 to 1)</w:t>
            </w:r>
          </w:p>
        </w:tc>
        <w:tc>
          <w:tcPr>
            <w:tcW w:w="1480" w:type="dxa"/>
            <w:tcBorders>
              <w:top w:val="nil"/>
              <w:left w:val="nil"/>
              <w:bottom w:val="nil"/>
              <w:right w:val="nil"/>
            </w:tcBorders>
            <w:shd w:val="clear" w:color="auto" w:fill="auto"/>
            <w:noWrap/>
          </w:tcPr>
          <w:p w14:paraId="0047049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93.97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(80.70 to 109.53)</w:t>
            </w:r>
          </w:p>
        </w:tc>
        <w:tc>
          <w:tcPr>
            <w:tcW w:w="1480" w:type="dxa"/>
            <w:tcBorders>
              <w:top w:val="nil"/>
              <w:left w:val="nil"/>
              <w:bottom w:val="nil"/>
              <w:right w:val="nil"/>
            </w:tcBorders>
            <w:shd w:val="clear" w:color="auto" w:fill="auto"/>
            <w:noWrap/>
          </w:tcPr>
          <w:p w14:paraId="3F88A14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80.39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(61.63 to 98.02)</w:t>
            </w:r>
          </w:p>
        </w:tc>
        <w:tc>
          <w:tcPr>
            <w:tcW w:w="1565" w:type="dxa"/>
            <w:tcBorders>
              <w:top w:val="nil"/>
              <w:left w:val="nil"/>
              <w:bottom w:val="nil"/>
              <w:right w:val="nil"/>
            </w:tcBorders>
            <w:shd w:val="clear" w:color="auto" w:fill="auto"/>
            <w:noWrap/>
          </w:tcPr>
          <w:p w14:paraId="779EE02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4.61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(4.58 to 4.64)</w:t>
            </w:r>
          </w:p>
        </w:tc>
        <w:tc>
          <w:tcPr>
            <w:tcW w:w="1488" w:type="dxa"/>
            <w:tcBorders>
              <w:top w:val="nil"/>
              <w:left w:val="nil"/>
              <w:bottom w:val="nil"/>
              <w:right w:val="nil"/>
            </w:tcBorders>
            <w:shd w:val="clear" w:color="auto" w:fill="auto"/>
            <w:noWrap/>
          </w:tcPr>
          <w:p w14:paraId="250A207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(-0.2 to -0.01)</w:t>
            </w:r>
          </w:p>
        </w:tc>
      </w:tr>
      <w:tr w14:paraId="00C1E60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69BFF5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599F9CC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High LDL cholesterol</w:t>
            </w:r>
          </w:p>
        </w:tc>
        <w:tc>
          <w:tcPr>
            <w:tcW w:w="1480" w:type="dxa"/>
            <w:tcBorders>
              <w:top w:val="nil"/>
              <w:left w:val="nil"/>
              <w:bottom w:val="nil"/>
              <w:right w:val="nil"/>
            </w:tcBorders>
            <w:shd w:val="clear" w:color="auto" w:fill="auto"/>
            <w:noWrap/>
          </w:tcPr>
          <w:p w14:paraId="5B4E2E9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5,474.42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(3,989.71 to 6,836.66)</w:t>
            </w:r>
          </w:p>
        </w:tc>
        <w:tc>
          <w:tcPr>
            <w:tcW w:w="1591" w:type="dxa"/>
            <w:tcBorders>
              <w:top w:val="nil"/>
              <w:left w:val="nil"/>
              <w:bottom w:val="nil"/>
              <w:right w:val="nil"/>
            </w:tcBorders>
            <w:shd w:val="clear" w:color="auto" w:fill="auto"/>
            <w:noWrap/>
          </w:tcPr>
          <w:p w14:paraId="615F69A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33.11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(20.32 to 47.35)</w:t>
            </w:r>
          </w:p>
        </w:tc>
        <w:tc>
          <w:tcPr>
            <w:tcW w:w="1369" w:type="dxa"/>
            <w:tcBorders>
              <w:top w:val="nil"/>
              <w:left w:val="nil"/>
              <w:bottom w:val="nil"/>
              <w:right w:val="nil"/>
            </w:tcBorders>
            <w:shd w:val="clear" w:color="auto" w:fill="auto"/>
            <w:noWrap/>
          </w:tcPr>
          <w:p w14:paraId="2465B22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268.74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(268.51 to 268.97)</w:t>
            </w:r>
          </w:p>
        </w:tc>
        <w:tc>
          <w:tcPr>
            <w:tcW w:w="1480" w:type="dxa"/>
            <w:tcBorders>
              <w:top w:val="nil"/>
              <w:left w:val="nil"/>
              <w:bottom w:val="nil"/>
              <w:right w:val="nil"/>
            </w:tcBorders>
            <w:shd w:val="clear" w:color="auto" w:fill="auto"/>
            <w:noWrap/>
          </w:tcPr>
          <w:p w14:paraId="6C6FF3E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(-1.07 to -0.97)</w:t>
            </w:r>
          </w:p>
        </w:tc>
        <w:tc>
          <w:tcPr>
            <w:tcW w:w="1480" w:type="dxa"/>
            <w:tcBorders>
              <w:top w:val="nil"/>
              <w:left w:val="nil"/>
              <w:bottom w:val="nil"/>
              <w:right w:val="nil"/>
            </w:tcBorders>
            <w:shd w:val="clear" w:color="auto" w:fill="auto"/>
            <w:noWrap/>
          </w:tcPr>
          <w:p w14:paraId="1DEDDE09">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101.30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(75.20 to 125.32)</w:t>
            </w:r>
          </w:p>
        </w:tc>
        <w:tc>
          <w:tcPr>
            <w:tcW w:w="1480" w:type="dxa"/>
            <w:tcBorders>
              <w:top w:val="nil"/>
              <w:left w:val="nil"/>
              <w:bottom w:val="nil"/>
              <w:right w:val="nil"/>
            </w:tcBorders>
            <w:shd w:val="clear" w:color="auto" w:fill="auto"/>
            <w:noWrap/>
          </w:tcPr>
          <w:p w14:paraId="496BBA6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32.74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(19.14 to 47.96)</w:t>
            </w:r>
          </w:p>
        </w:tc>
        <w:tc>
          <w:tcPr>
            <w:tcW w:w="1565" w:type="dxa"/>
            <w:tcBorders>
              <w:top w:val="nil"/>
              <w:left w:val="nil"/>
              <w:bottom w:val="nil"/>
              <w:right w:val="nil"/>
            </w:tcBorders>
            <w:shd w:val="clear" w:color="auto" w:fill="auto"/>
            <w:noWrap/>
          </w:tcPr>
          <w:p w14:paraId="44DA4DD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4.95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(4.92 to 4.98)</w:t>
            </w:r>
          </w:p>
        </w:tc>
        <w:tc>
          <w:tcPr>
            <w:tcW w:w="1488" w:type="dxa"/>
            <w:tcBorders>
              <w:top w:val="nil"/>
              <w:left w:val="nil"/>
              <w:bottom w:val="nil"/>
              <w:right w:val="nil"/>
            </w:tcBorders>
            <w:shd w:val="clear" w:color="auto" w:fill="auto"/>
            <w:noWrap/>
          </w:tcPr>
          <w:p w14:paraId="05EA18B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(-1.15 to -1.04)</w:t>
            </w:r>
          </w:p>
        </w:tc>
      </w:tr>
      <w:tr w14:paraId="1A37FF5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29A1E545">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42E55C4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High systolic blood pressure</w:t>
            </w:r>
          </w:p>
        </w:tc>
        <w:tc>
          <w:tcPr>
            <w:tcW w:w="1480" w:type="dxa"/>
            <w:tcBorders>
              <w:top w:val="nil"/>
              <w:left w:val="nil"/>
              <w:bottom w:val="nil"/>
              <w:right w:val="nil"/>
            </w:tcBorders>
            <w:shd w:val="clear" w:color="auto" w:fill="auto"/>
            <w:noWrap/>
          </w:tcPr>
          <w:p w14:paraId="7412482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7,905.25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(6,090.82 to 9,666.18)</w:t>
            </w:r>
          </w:p>
        </w:tc>
        <w:tc>
          <w:tcPr>
            <w:tcW w:w="1591" w:type="dxa"/>
            <w:tcBorders>
              <w:top w:val="nil"/>
              <w:left w:val="nil"/>
              <w:bottom w:val="nil"/>
              <w:right w:val="nil"/>
            </w:tcBorders>
            <w:shd w:val="clear" w:color="auto" w:fill="auto"/>
            <w:noWrap/>
          </w:tcPr>
          <w:p w14:paraId="7C66EA6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35.64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(19.14 to 56.00)</w:t>
            </w:r>
          </w:p>
        </w:tc>
        <w:tc>
          <w:tcPr>
            <w:tcW w:w="1369" w:type="dxa"/>
            <w:tcBorders>
              <w:top w:val="nil"/>
              <w:left w:val="nil"/>
              <w:bottom w:val="nil"/>
              <w:right w:val="nil"/>
            </w:tcBorders>
            <w:shd w:val="clear" w:color="auto" w:fill="auto"/>
            <w:noWrap/>
          </w:tcPr>
          <w:p w14:paraId="133BD43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386.52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(386.25 to 386.79)</w:t>
            </w:r>
          </w:p>
        </w:tc>
        <w:tc>
          <w:tcPr>
            <w:tcW w:w="1480" w:type="dxa"/>
            <w:tcBorders>
              <w:top w:val="nil"/>
              <w:left w:val="nil"/>
              <w:bottom w:val="nil"/>
              <w:right w:val="nil"/>
            </w:tcBorders>
            <w:shd w:val="clear" w:color="auto" w:fill="auto"/>
            <w:noWrap/>
          </w:tcPr>
          <w:p w14:paraId="7949885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-1.04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(-1.09 to -0.99)</w:t>
            </w:r>
          </w:p>
        </w:tc>
        <w:tc>
          <w:tcPr>
            <w:tcW w:w="1480" w:type="dxa"/>
            <w:tcBorders>
              <w:top w:val="nil"/>
              <w:left w:val="nil"/>
              <w:bottom w:val="nil"/>
              <w:right w:val="nil"/>
            </w:tcBorders>
            <w:shd w:val="clear" w:color="auto" w:fill="auto"/>
            <w:noWrap/>
          </w:tcPr>
          <w:p w14:paraId="14FF5DB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149.16</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(114.78 to 182.19)</w:t>
            </w:r>
          </w:p>
        </w:tc>
        <w:tc>
          <w:tcPr>
            <w:tcW w:w="1480" w:type="dxa"/>
            <w:tcBorders>
              <w:top w:val="nil"/>
              <w:left w:val="nil"/>
              <w:bottom w:val="nil"/>
              <w:right w:val="nil"/>
            </w:tcBorders>
            <w:shd w:val="clear" w:color="auto" w:fill="auto"/>
            <w:noWrap/>
          </w:tcPr>
          <w:p w14:paraId="23BA609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33.63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(16.50 to 54.44)</w:t>
            </w:r>
          </w:p>
        </w:tc>
        <w:tc>
          <w:tcPr>
            <w:tcW w:w="1565" w:type="dxa"/>
            <w:tcBorders>
              <w:top w:val="nil"/>
              <w:left w:val="nil"/>
              <w:bottom w:val="nil"/>
              <w:right w:val="nil"/>
            </w:tcBorders>
            <w:shd w:val="clear" w:color="auto" w:fill="auto"/>
            <w:noWrap/>
          </w:tcPr>
          <w:p w14:paraId="40183C0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7.27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(7.23 to 7.3)</w:t>
            </w:r>
          </w:p>
        </w:tc>
        <w:tc>
          <w:tcPr>
            <w:tcW w:w="1488" w:type="dxa"/>
            <w:tcBorders>
              <w:top w:val="nil"/>
              <w:left w:val="nil"/>
              <w:bottom w:val="nil"/>
              <w:right w:val="nil"/>
            </w:tcBorders>
            <w:shd w:val="clear" w:color="auto" w:fill="auto"/>
            <w:noWrap/>
          </w:tcPr>
          <w:p w14:paraId="7CC4853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(-1.2 to -1.09)</w:t>
            </w:r>
          </w:p>
        </w:tc>
      </w:tr>
      <w:tr w14:paraId="788AF1E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714BEE2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08FBE21A">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High body-mass index</w:t>
            </w:r>
          </w:p>
        </w:tc>
        <w:tc>
          <w:tcPr>
            <w:tcW w:w="1480" w:type="dxa"/>
            <w:tcBorders>
              <w:top w:val="nil"/>
              <w:left w:val="nil"/>
              <w:bottom w:val="nil"/>
              <w:right w:val="nil"/>
            </w:tcBorders>
            <w:shd w:val="clear" w:color="auto" w:fill="auto"/>
            <w:noWrap/>
          </w:tcPr>
          <w:p w14:paraId="421DBF3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13,003.27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(5,842.59 to 20,412.33)</w:t>
            </w:r>
          </w:p>
        </w:tc>
        <w:tc>
          <w:tcPr>
            <w:tcW w:w="1591" w:type="dxa"/>
            <w:tcBorders>
              <w:top w:val="nil"/>
              <w:left w:val="nil"/>
              <w:bottom w:val="nil"/>
              <w:right w:val="nil"/>
            </w:tcBorders>
            <w:shd w:val="clear" w:color="auto" w:fill="auto"/>
            <w:noWrap/>
          </w:tcPr>
          <w:p w14:paraId="0A3D443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150.19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(130.01 to 173.56)</w:t>
            </w:r>
          </w:p>
        </w:tc>
        <w:tc>
          <w:tcPr>
            <w:tcW w:w="1369" w:type="dxa"/>
            <w:tcBorders>
              <w:top w:val="nil"/>
              <w:left w:val="nil"/>
              <w:bottom w:val="nil"/>
              <w:right w:val="nil"/>
            </w:tcBorders>
            <w:shd w:val="clear" w:color="auto" w:fill="auto"/>
            <w:noWrap/>
          </w:tcPr>
          <w:p w14:paraId="6B6E1A3D">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641.54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(641.19 to 641.89)</w:t>
            </w:r>
          </w:p>
        </w:tc>
        <w:tc>
          <w:tcPr>
            <w:tcW w:w="1480" w:type="dxa"/>
            <w:tcBorders>
              <w:top w:val="nil"/>
              <w:left w:val="nil"/>
              <w:bottom w:val="nil"/>
              <w:right w:val="nil"/>
            </w:tcBorders>
            <w:shd w:val="clear" w:color="auto" w:fill="auto"/>
            <w:noWrap/>
          </w:tcPr>
          <w:p w14:paraId="79F17B7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(1.1 to 1.18)</w:t>
            </w:r>
          </w:p>
        </w:tc>
        <w:tc>
          <w:tcPr>
            <w:tcW w:w="1480" w:type="dxa"/>
            <w:tcBorders>
              <w:top w:val="nil"/>
              <w:left w:val="nil"/>
              <w:bottom w:val="nil"/>
              <w:right w:val="nil"/>
            </w:tcBorders>
            <w:shd w:val="clear" w:color="auto" w:fill="auto"/>
            <w:noWrap/>
          </w:tcPr>
          <w:p w14:paraId="401A4DE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123.00</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(64.86 to 181.91)</w:t>
            </w:r>
          </w:p>
        </w:tc>
        <w:tc>
          <w:tcPr>
            <w:tcW w:w="1480" w:type="dxa"/>
            <w:tcBorders>
              <w:top w:val="nil"/>
              <w:left w:val="nil"/>
              <w:bottom w:val="nil"/>
              <w:right w:val="nil"/>
            </w:tcBorders>
            <w:shd w:val="clear" w:color="auto" w:fill="auto"/>
            <w:noWrap/>
          </w:tcPr>
          <w:p w14:paraId="4C2AC63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113.87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(91.89 to 142.34)</w:t>
            </w:r>
          </w:p>
        </w:tc>
        <w:tc>
          <w:tcPr>
            <w:tcW w:w="1565" w:type="dxa"/>
            <w:tcBorders>
              <w:top w:val="nil"/>
              <w:left w:val="nil"/>
              <w:bottom w:val="nil"/>
              <w:right w:val="nil"/>
            </w:tcBorders>
            <w:shd w:val="clear" w:color="auto" w:fill="auto"/>
            <w:noWrap/>
          </w:tcPr>
          <w:p w14:paraId="20033A7F">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6.02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(5.99 to 6.05)</w:t>
            </w:r>
          </w:p>
        </w:tc>
        <w:tc>
          <w:tcPr>
            <w:tcW w:w="1488" w:type="dxa"/>
            <w:tcBorders>
              <w:top w:val="nil"/>
              <w:left w:val="nil"/>
              <w:bottom w:val="nil"/>
              <w:right w:val="nil"/>
            </w:tcBorders>
            <w:shd w:val="clear" w:color="auto" w:fill="auto"/>
            <w:noWrap/>
          </w:tcPr>
          <w:p w14:paraId="36E7E00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0.43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(0.37 to 0.5)</w:t>
            </w:r>
          </w:p>
        </w:tc>
      </w:tr>
      <w:tr w14:paraId="47A08BD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bottom w:val="nil"/>
              <w:right w:val="nil"/>
            </w:tcBorders>
            <w:shd w:val="clear" w:color="auto" w:fill="auto"/>
            <w:noWrap/>
          </w:tcPr>
          <w:p w14:paraId="056EA74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bottom w:val="nil"/>
              <w:right w:val="nil"/>
            </w:tcBorders>
            <w:shd w:val="clear" w:color="auto" w:fill="auto"/>
            <w:noWrap/>
          </w:tcPr>
          <w:p w14:paraId="0112F9A0">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Low bone mineral density</w:t>
            </w:r>
          </w:p>
        </w:tc>
        <w:tc>
          <w:tcPr>
            <w:tcW w:w="1480" w:type="dxa"/>
            <w:tcBorders>
              <w:top w:val="nil"/>
              <w:left w:val="nil"/>
              <w:bottom w:val="nil"/>
              <w:right w:val="nil"/>
            </w:tcBorders>
            <w:shd w:val="clear" w:color="auto" w:fill="auto"/>
            <w:noWrap/>
          </w:tcPr>
          <w:p w14:paraId="4FFF2B8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793.63</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(648.57 to 970.94)</w:t>
            </w:r>
          </w:p>
        </w:tc>
        <w:tc>
          <w:tcPr>
            <w:tcW w:w="1591" w:type="dxa"/>
            <w:tcBorders>
              <w:top w:val="nil"/>
              <w:left w:val="nil"/>
              <w:bottom w:val="nil"/>
              <w:right w:val="nil"/>
            </w:tcBorders>
            <w:shd w:val="clear" w:color="auto" w:fill="auto"/>
            <w:noWrap/>
          </w:tcPr>
          <w:p w14:paraId="0B35503B">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31.84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(22.11 to 40.26)</w:t>
            </w:r>
          </w:p>
        </w:tc>
        <w:tc>
          <w:tcPr>
            <w:tcW w:w="1369" w:type="dxa"/>
            <w:tcBorders>
              <w:top w:val="nil"/>
              <w:left w:val="nil"/>
              <w:bottom w:val="nil"/>
              <w:right w:val="nil"/>
            </w:tcBorders>
            <w:shd w:val="clear" w:color="auto" w:fill="auto"/>
            <w:noWrap/>
          </w:tcPr>
          <w:p w14:paraId="1753AE3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38.55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(38.46 to 38.63)</w:t>
            </w:r>
          </w:p>
        </w:tc>
        <w:tc>
          <w:tcPr>
            <w:tcW w:w="1480" w:type="dxa"/>
            <w:tcBorders>
              <w:top w:val="nil"/>
              <w:left w:val="nil"/>
              <w:bottom w:val="nil"/>
              <w:right w:val="nil"/>
            </w:tcBorders>
            <w:shd w:val="clear" w:color="auto" w:fill="auto"/>
            <w:noWrap/>
          </w:tcPr>
          <w:p w14:paraId="00504CF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-1.34</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(-1.43 to -1.25)</w:t>
            </w:r>
          </w:p>
        </w:tc>
        <w:tc>
          <w:tcPr>
            <w:tcW w:w="1480" w:type="dxa"/>
            <w:tcBorders>
              <w:top w:val="nil"/>
              <w:left w:val="nil"/>
              <w:bottom w:val="nil"/>
              <w:right w:val="nil"/>
            </w:tcBorders>
            <w:shd w:val="clear" w:color="auto" w:fill="auto"/>
            <w:noWrap/>
          </w:tcPr>
          <w:p w14:paraId="23A4EA9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8.58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(7.26 to 9.70)</w:t>
            </w:r>
          </w:p>
        </w:tc>
        <w:tc>
          <w:tcPr>
            <w:tcW w:w="1480" w:type="dxa"/>
            <w:tcBorders>
              <w:top w:val="nil"/>
              <w:left w:val="nil"/>
              <w:bottom w:val="nil"/>
              <w:right w:val="nil"/>
            </w:tcBorders>
            <w:shd w:val="clear" w:color="auto" w:fill="auto"/>
            <w:noWrap/>
          </w:tcPr>
          <w:p w14:paraId="08C91E78">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27.39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(9.07 to 42.89)</w:t>
            </w:r>
          </w:p>
        </w:tc>
        <w:tc>
          <w:tcPr>
            <w:tcW w:w="1565" w:type="dxa"/>
            <w:tcBorders>
              <w:top w:val="nil"/>
              <w:left w:val="nil"/>
              <w:bottom w:val="nil"/>
              <w:right w:val="nil"/>
            </w:tcBorders>
            <w:shd w:val="clear" w:color="auto" w:fill="auto"/>
            <w:noWrap/>
          </w:tcPr>
          <w:p w14:paraId="26A2A18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0.42</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(0.41 to 0.43)</w:t>
            </w:r>
          </w:p>
        </w:tc>
        <w:tc>
          <w:tcPr>
            <w:tcW w:w="1488" w:type="dxa"/>
            <w:tcBorders>
              <w:top w:val="nil"/>
              <w:left w:val="nil"/>
              <w:bottom w:val="nil"/>
              <w:right w:val="nil"/>
            </w:tcBorders>
            <w:shd w:val="clear" w:color="auto" w:fill="auto"/>
            <w:noWrap/>
          </w:tcPr>
          <w:p w14:paraId="481ACFBE">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-1.35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(-1.49 to -1.21)</w:t>
            </w:r>
          </w:p>
        </w:tc>
      </w:tr>
      <w:tr w14:paraId="7A84127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758" w:type="dxa"/>
            <w:tcBorders>
              <w:top w:val="nil"/>
              <w:left w:val="nil"/>
              <w:right w:val="nil"/>
            </w:tcBorders>
            <w:shd w:val="clear" w:color="auto" w:fill="auto"/>
            <w:noWrap/>
          </w:tcPr>
          <w:p w14:paraId="7522369C">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2</w:t>
            </w:r>
          </w:p>
        </w:tc>
        <w:tc>
          <w:tcPr>
            <w:tcW w:w="1480" w:type="dxa"/>
            <w:tcBorders>
              <w:top w:val="nil"/>
              <w:left w:val="nil"/>
              <w:right w:val="nil"/>
            </w:tcBorders>
            <w:shd w:val="clear" w:color="auto" w:fill="auto"/>
            <w:noWrap/>
          </w:tcPr>
          <w:p w14:paraId="3C95E7A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Kidney dysfunction</w:t>
            </w:r>
          </w:p>
        </w:tc>
        <w:tc>
          <w:tcPr>
            <w:tcW w:w="1480" w:type="dxa"/>
            <w:tcBorders>
              <w:top w:val="nil"/>
              <w:left w:val="nil"/>
              <w:right w:val="nil"/>
            </w:tcBorders>
            <w:shd w:val="clear" w:color="auto" w:fill="auto"/>
            <w:noWrap/>
          </w:tcPr>
          <w:p w14:paraId="5DE4913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6,365.77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(5,625.39 to 7,120.10)</w:t>
            </w:r>
          </w:p>
        </w:tc>
        <w:tc>
          <w:tcPr>
            <w:tcW w:w="1591" w:type="dxa"/>
            <w:tcBorders>
              <w:top w:val="nil"/>
              <w:left w:val="nil"/>
              <w:right w:val="nil"/>
            </w:tcBorders>
            <w:shd w:val="clear" w:color="auto" w:fill="auto"/>
            <w:noWrap/>
          </w:tcPr>
          <w:p w14:paraId="24A3B084">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47.98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(32.18 to 62.14)</w:t>
            </w:r>
          </w:p>
        </w:tc>
        <w:tc>
          <w:tcPr>
            <w:tcW w:w="1369" w:type="dxa"/>
            <w:tcBorders>
              <w:top w:val="nil"/>
              <w:left w:val="nil"/>
              <w:right w:val="nil"/>
            </w:tcBorders>
            <w:shd w:val="clear" w:color="auto" w:fill="auto"/>
            <w:noWrap/>
          </w:tcPr>
          <w:p w14:paraId="36B78102">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317.5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(317.25 to 317.75)</w:t>
            </w:r>
          </w:p>
        </w:tc>
        <w:tc>
          <w:tcPr>
            <w:tcW w:w="1480" w:type="dxa"/>
            <w:tcBorders>
              <w:top w:val="nil"/>
              <w:left w:val="nil"/>
              <w:right w:val="nil"/>
            </w:tcBorders>
            <w:shd w:val="clear" w:color="auto" w:fill="auto"/>
            <w:noWrap/>
          </w:tcPr>
          <w:p w14:paraId="38DD0763">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-0.45</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(-0.51 to -0.39)</w:t>
            </w:r>
          </w:p>
        </w:tc>
        <w:tc>
          <w:tcPr>
            <w:tcW w:w="1480" w:type="dxa"/>
            <w:tcBorders>
              <w:top w:val="nil"/>
              <w:left w:val="nil"/>
              <w:right w:val="nil"/>
            </w:tcBorders>
            <w:shd w:val="clear" w:color="auto" w:fill="auto"/>
            <w:noWrap/>
          </w:tcPr>
          <w:p w14:paraId="12713CC1">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98.79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(87.87 to 111.59)</w:t>
            </w:r>
          </w:p>
        </w:tc>
        <w:tc>
          <w:tcPr>
            <w:tcW w:w="1480" w:type="dxa"/>
            <w:tcBorders>
              <w:top w:val="nil"/>
              <w:left w:val="nil"/>
              <w:right w:val="nil"/>
            </w:tcBorders>
            <w:shd w:val="clear" w:color="auto" w:fill="auto"/>
            <w:noWrap/>
          </w:tcPr>
          <w:p w14:paraId="1D347F2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48.88</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(30.39 to 66.68)</w:t>
            </w:r>
          </w:p>
        </w:tc>
        <w:tc>
          <w:tcPr>
            <w:tcW w:w="1565" w:type="dxa"/>
            <w:tcBorders>
              <w:top w:val="nil"/>
              <w:left w:val="nil"/>
              <w:right w:val="nil"/>
            </w:tcBorders>
            <w:shd w:val="clear" w:color="auto" w:fill="auto"/>
            <w:noWrap/>
          </w:tcPr>
          <w:p w14:paraId="01FE8FC7">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4.89</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(4.86 to 4.92)</w:t>
            </w:r>
          </w:p>
        </w:tc>
        <w:tc>
          <w:tcPr>
            <w:tcW w:w="1488" w:type="dxa"/>
            <w:tcBorders>
              <w:top w:val="nil"/>
              <w:left w:val="nil"/>
              <w:right w:val="nil"/>
            </w:tcBorders>
            <w:shd w:val="clear" w:color="auto" w:fill="auto"/>
            <w:noWrap/>
          </w:tcPr>
          <w:p w14:paraId="1DDE76E6">
            <w:pPr>
              <w:widowControl/>
              <w:jc w:val="center"/>
              <w:textAlignment w:val="bottom"/>
              <w:rPr>
                <w:rFonts w:ascii="Times New Roman" w:hAnsi="Times New Roman" w:cs="Times New Roman"/>
                <w:color w:val="000000"/>
                <w:sz w:val="20"/>
                <w:szCs w:val="20"/>
              </w:rPr>
            </w:pPr>
            <w:r>
              <w:rPr>
                <w:rFonts w:ascii="Times New Roman" w:hAnsi="Times New Roman" w:eastAsia="宋体" w:cs="Times New Roman"/>
                <w:color w:val="000000"/>
                <w:kern w:val="0"/>
                <w:sz w:val="20"/>
                <w:szCs w:val="20"/>
                <w:lang w:bidi="ar"/>
              </w:rPr>
              <w:t>-0.57</w:t>
            </w:r>
            <w:r>
              <w:rPr>
                <w:rFonts w:ascii="Times New Roman" w:hAnsi="Times New Roman" w:eastAsia="宋体" w:cs="Times New Roman"/>
                <w:color w:val="000000"/>
                <w:kern w:val="0"/>
                <w:sz w:val="20"/>
                <w:szCs w:val="20"/>
                <w:lang w:bidi="ar"/>
              </w:rPr>
              <w:br w:type="textWrapping"/>
            </w:r>
            <w:r>
              <w:rPr>
                <w:rFonts w:ascii="Times New Roman" w:hAnsi="Times New Roman" w:eastAsia="宋体" w:cs="Times New Roman"/>
                <w:color w:val="000000"/>
                <w:kern w:val="0"/>
                <w:sz w:val="20"/>
                <w:szCs w:val="20"/>
                <w:lang w:bidi="ar"/>
              </w:rPr>
              <w:t>(-0.65 to -0.49)</w:t>
            </w:r>
          </w:p>
        </w:tc>
      </w:tr>
    </w:tbl>
    <w:p w14:paraId="37C59049"/>
    <w:p w14:paraId="313D22C0">
      <w:pPr>
        <w:rPr>
          <w:rFonts w:ascii="Times New Roman" w:hAnsi="Times New Roman" w:cs="Times New Roman"/>
          <w:sz w:val="24"/>
        </w:rPr>
        <w:sectPr>
          <w:pgSz w:w="16838" w:h="11906" w:orient="landscape"/>
          <w:pgMar w:top="1800" w:right="1440" w:bottom="1800" w:left="1440" w:header="851" w:footer="992" w:gutter="0"/>
          <w:lnNumType w:countBy="1" w:restart="continuous"/>
          <w:cols w:space="425" w:num="1"/>
          <w:docGrid w:type="lines" w:linePitch="312" w:charSpace="0"/>
        </w:sectPr>
      </w:pPr>
      <w:bookmarkStart w:id="1" w:name="OLE_LINK32"/>
      <w:r>
        <w:rPr>
          <w:rFonts w:hint="eastAsia" w:ascii="Times New Roman" w:hAnsi="Times New Roman" w:cs="Times New Roman"/>
          <w:sz w:val="24"/>
        </w:rPr>
        <w:t xml:space="preserve">Abbreviations: </w:t>
      </w:r>
      <w:r>
        <w:rPr>
          <w:rFonts w:ascii="Times New Roman" w:hAnsi="Times New Roman" w:cs="Times New Roman"/>
          <w:sz w:val="24"/>
        </w:rPr>
        <w:t>DALYs, disability-adjusted life-years; UI, uncertainty interval; WCBA, women of childbearing age</w:t>
      </w:r>
      <w:r>
        <w:rPr>
          <w:rFonts w:hint="eastAsia" w:ascii="Times New Roman" w:hAnsi="Times New Roman" w:cs="Times New Roman"/>
          <w:sz w:val="24"/>
        </w:rPr>
        <w:t>; EAPC, estimated annual percentage change</w:t>
      </w:r>
      <w:r>
        <w:rPr>
          <w:rFonts w:ascii="Times New Roman" w:hAnsi="Times New Roman" w:cs="Times New Roman"/>
          <w:sz w:val="24"/>
        </w:rPr>
        <w:t>.</w:t>
      </w:r>
    </w:p>
    <w:bookmarkEnd w:id="1"/>
    <w:p w14:paraId="5072CC20">
      <w:pPr>
        <w:pStyle w:val="4"/>
        <w:rPr>
          <w:color w:val="000000"/>
          <w:lang w:val="en-US"/>
        </w:rPr>
      </w:pPr>
      <w:r>
        <w:rPr>
          <w:b/>
          <w:bCs/>
          <w:lang w:val="en-US"/>
        </w:rPr>
        <w:t>Figure S</w:t>
      </w:r>
      <w:r>
        <w:rPr>
          <w:rFonts w:hint="eastAsia"/>
          <w:b/>
          <w:bCs/>
          <w:lang w:val="en-US"/>
        </w:rPr>
        <w:t>1.</w:t>
      </w:r>
      <w:r>
        <w:rPr>
          <w:b/>
          <w:bCs/>
          <w:lang w:val="en-US"/>
        </w:rPr>
        <w:t xml:space="preserve"> </w:t>
      </w:r>
      <w:r>
        <w:rPr>
          <w:b/>
          <w:bCs/>
          <w:color w:val="000000"/>
          <w:lang w:val="en-US"/>
        </w:rPr>
        <w:t>Percentage of Total DALYs Attributable to the Four Leading Level 3 Risk Factors (unsafe sex, iron deficiency, high body mass index, and high fasting plasma glucose) among WCBA in 2021</w:t>
      </w:r>
    </w:p>
    <w:p w14:paraId="5F0DCD87">
      <w:pPr>
        <w:pStyle w:val="4"/>
        <w:rPr>
          <w:rFonts w:hint="eastAsia" w:eastAsiaTheme="minorEastAsia"/>
          <w:lang w:val="en-US"/>
        </w:rPr>
        <w:sectPr>
          <w:pgSz w:w="11906" w:h="16838"/>
          <w:pgMar w:top="1440" w:right="1800" w:bottom="1440" w:left="1800" w:header="851" w:footer="992" w:gutter="0"/>
          <w:lnNumType w:countBy="1" w:restart="continuous"/>
          <w:cols w:space="425" w:num="1"/>
          <w:docGrid w:type="lines" w:linePitch="312" w:charSpace="0"/>
        </w:sectPr>
      </w:pPr>
      <w:r>
        <w:rPr>
          <w:lang w:val="en-US"/>
        </w:rPr>
        <w:t>Abbreviations:</w:t>
      </w:r>
      <w:r>
        <w:rPr>
          <w:rFonts w:hint="eastAsia" w:eastAsia="宋体"/>
          <w:lang w:val="en-US"/>
        </w:rPr>
        <w:t xml:space="preserve"> </w:t>
      </w:r>
      <w:r>
        <w:rPr>
          <w:color w:val="000000"/>
          <w:lang w:val="en-US"/>
        </w:rPr>
        <w:t>DALYs, disability-adjusted life years; WCBA, women of childbearing age</w:t>
      </w:r>
      <w:r>
        <w:rPr>
          <w:rFonts w:hint="eastAsia" w:eastAsiaTheme="minorEastAsia"/>
          <w:color w:val="000000"/>
          <w:lang w:val="en-US"/>
        </w:rPr>
        <w:t>.</w:t>
      </w:r>
    </w:p>
    <w:p w14:paraId="2B707BAD">
      <w:pPr>
        <w:pStyle w:val="4"/>
        <w:rPr>
          <w:rFonts w:hint="eastAsia" w:eastAsiaTheme="minorEastAsia"/>
          <w:b/>
          <w:bCs/>
          <w:lang w:val="en-US"/>
        </w:rPr>
      </w:pPr>
    </w:p>
    <w:p w14:paraId="50B67EDD">
      <w:pPr>
        <w:pStyle w:val="4"/>
        <w:rPr>
          <w:lang w:val="en-US"/>
        </w:rPr>
        <w:sectPr>
          <w:pgSz w:w="11906" w:h="16838"/>
          <w:pgMar w:top="1440" w:right="1800" w:bottom="1440" w:left="1800" w:header="851" w:footer="992" w:gutter="0"/>
          <w:lnNumType w:countBy="1" w:restart="continuous"/>
          <w:cols w:space="425" w:num="1"/>
          <w:docGrid w:type="lines" w:linePitch="312" w:charSpace="0"/>
        </w:sectPr>
      </w:pPr>
      <w:r>
        <w:drawing>
          <wp:inline distT="0" distB="0" distL="114300" distR="114300">
            <wp:extent cx="5266690" cy="8427085"/>
            <wp:effectExtent l="0" t="0" r="10160" b="12065"/>
            <wp:docPr id="1" name="图片 1" descr="combined_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ombined_map"/>
                    <pic:cNvPicPr>
                      <a:picLocks noChangeAspect="1"/>
                    </pic:cNvPicPr>
                  </pic:nvPicPr>
                  <pic:blipFill>
                    <a:blip r:embed="rId4"/>
                    <a:stretch>
                      <a:fillRect/>
                    </a:stretch>
                  </pic:blipFill>
                  <pic:spPr>
                    <a:xfrm>
                      <a:off x="0" y="0"/>
                      <a:ext cx="5266690" cy="8427085"/>
                    </a:xfrm>
                    <a:prstGeom prst="rect">
                      <a:avLst/>
                    </a:prstGeom>
                  </pic:spPr>
                </pic:pic>
              </a:graphicData>
            </a:graphic>
          </wp:inline>
        </w:drawing>
      </w:r>
      <w:bookmarkStart w:id="2" w:name="OLE_LINK33"/>
    </w:p>
    <w:bookmarkEnd w:id="2"/>
    <w:p w14:paraId="477D4393">
      <w:pPr>
        <w:rPr>
          <w:rFonts w:ascii="Times New Roman" w:hAnsi="Times New Roman" w:cs="Times New Roman"/>
          <w:b/>
          <w:bCs/>
          <w:sz w:val="24"/>
        </w:rPr>
      </w:pPr>
      <w:r>
        <w:rPr>
          <w:rFonts w:ascii="Times New Roman" w:hAnsi="Times New Roman" w:cs="Times New Roman"/>
          <w:b/>
          <w:bCs/>
          <w:sz w:val="24"/>
        </w:rPr>
        <w:t>Figure S</w:t>
      </w:r>
      <w:r>
        <w:rPr>
          <w:rFonts w:hint="eastAsia" w:ascii="Times New Roman" w:hAnsi="Times New Roman" w:cs="Times New Roman"/>
          <w:b/>
          <w:bCs/>
          <w:sz w:val="24"/>
        </w:rPr>
        <w:t xml:space="preserve">2. </w:t>
      </w:r>
      <w:r>
        <w:rPr>
          <w:rFonts w:ascii="Times New Roman" w:hAnsi="Times New Roman" w:cs="Times New Roman"/>
          <w:b/>
          <w:bCs/>
          <w:sz w:val="24"/>
        </w:rPr>
        <w:t>Top 10 Level 3 Risk Factors by Age-Standardized SEVs among WCBA by GBD Region and SDI Quintile, 2021</w:t>
      </w:r>
    </w:p>
    <w:p w14:paraId="2B963253">
      <w:pPr>
        <w:rPr>
          <w:rFonts w:ascii="Times New Roman" w:hAnsi="Times New Roman" w:cs="Times New Roman"/>
          <w:sz w:val="24"/>
        </w:rPr>
      </w:pPr>
      <w:r>
        <w:rPr>
          <w:rFonts w:ascii="Times New Roman" w:hAnsi="Times New Roman" w:cs="Times New Roman"/>
          <w:b/>
          <w:bCs/>
          <w:sz w:val="24"/>
        </w:rPr>
        <w:br w:type="textWrapping"/>
      </w:r>
      <w:r>
        <w:rPr>
          <w:rFonts w:ascii="Times New Roman" w:hAnsi="Times New Roman" w:cs="Times New Roman"/>
          <w:sz w:val="24"/>
        </w:rPr>
        <w:t>For each GBD region and SDI quintile, Level 3 risk factors are ranked by age-standardized summary exposure values (SEVs), from highest (left) to lowest (right). Colors represent the EAPC in SEVs from 1990 to 2021.</w:t>
      </w:r>
    </w:p>
    <w:p w14:paraId="773AE7EC">
      <w:pPr>
        <w:rPr>
          <w:rFonts w:ascii="Times New Roman" w:hAnsi="Times New Roman" w:cs="Times New Roman"/>
          <w:b/>
          <w:bCs/>
          <w:sz w:val="24"/>
        </w:rPr>
      </w:pPr>
      <w:r>
        <w:rPr>
          <w:rFonts w:ascii="Times New Roman" w:hAnsi="Times New Roman" w:cs="Times New Roman"/>
          <w:sz w:val="24"/>
        </w:rPr>
        <w:br w:type="textWrapping"/>
      </w:r>
      <w:r>
        <w:rPr>
          <w:rFonts w:ascii="Times New Roman" w:hAnsi="Times New Roman" w:cs="Times New Roman"/>
          <w:sz w:val="24"/>
        </w:rPr>
        <w:t>Abbreviations:</w:t>
      </w:r>
      <w:r>
        <w:rPr>
          <w:rFonts w:ascii="Times New Roman" w:hAnsi="Times New Roman" w:cs="Times New Roman"/>
          <w:sz w:val="24"/>
        </w:rPr>
        <w:br w:type="textWrapping"/>
      </w:r>
      <w:r>
        <w:rPr>
          <w:rFonts w:ascii="Times New Roman" w:hAnsi="Times New Roman" w:cs="Times New Roman"/>
          <w:sz w:val="24"/>
        </w:rPr>
        <w:t>Ergonomic risks, occupational ergonomic factors; High BMI, high body-mass index; High LDL, high LDL cholesterol; High processed meat, diet high in processed meat; High red meat, diet high in red meat; High sodium, diet high in sodium; High sweetened beverages, diet high in sugar-sweetened beverages; IPV, intimate partner violence; High trans fat, diet high in trans fatty acids; Low calcium, diet low in calcium; Low fiber, diet low in fiber; Low fruits, diet low in fruits; Low legumes, diet low in legumes; Low milk, diet low in milk; Low nuts/seeds, diet low in nuts and seeds; Low omega-3, diet low in seafood omega-3 fatty acids; Low omega-6, diet low in omega-6 polyunsaturated fatty acids; Low vegetables, diet low in vegetables; Low whole grains, diet low in whole grains; NO₂ pollution, nitrogen dioxide pollution; No handwashing, no access to handwashing facility; Ozone pollution, ambient ozone pollution; PM pollution, particulate matter pollution; Radon, residential radon; Unsafe water, unsafe water source; WCBA, women of childbearing age; SEV, summary exposure value; EAPC, estimated annual percentage change; SDI, Socio-demographic Index; GBD, Global Burden of Disease.</w:t>
      </w:r>
    </w:p>
    <w:p w14:paraId="68B01122">
      <w:pPr>
        <w:rPr>
          <w:rFonts w:hint="eastAsia" w:ascii="Times New Roman" w:hAnsi="Times New Roman" w:cs="Times New Roman"/>
          <w:b/>
          <w:bCs/>
          <w:sz w:val="24"/>
        </w:rPr>
      </w:pPr>
      <w:r>
        <w:rPr>
          <w:rFonts w:hint="eastAsia" w:ascii="Times New Roman" w:hAnsi="Times New Roman" w:cs="Times New Roman"/>
          <w:b/>
          <w:bCs/>
          <w:sz w:val="24"/>
        </w:rPr>
        <w:drawing>
          <wp:inline distT="0" distB="0" distL="114300" distR="114300">
            <wp:extent cx="6144895" cy="5266690"/>
            <wp:effectExtent l="0" t="0" r="8255" b="10160"/>
            <wp:docPr id="5" name="图片 5" descr="sev_reg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sev_region"/>
                    <pic:cNvPicPr>
                      <a:picLocks noChangeAspect="1"/>
                    </pic:cNvPicPr>
                  </pic:nvPicPr>
                  <pic:blipFill>
                    <a:blip r:embed="rId5"/>
                    <a:stretch>
                      <a:fillRect/>
                    </a:stretch>
                  </pic:blipFill>
                  <pic:spPr>
                    <a:xfrm>
                      <a:off x="0" y="0"/>
                      <a:ext cx="6144895" cy="5266690"/>
                    </a:xfrm>
                    <a:prstGeom prst="rect">
                      <a:avLst/>
                    </a:prstGeom>
                  </pic:spPr>
                </pic:pic>
              </a:graphicData>
            </a:graphic>
          </wp:inline>
        </w:drawing>
      </w:r>
    </w:p>
    <w:p w14:paraId="2EC7E0C3">
      <w:pPr>
        <w:rPr>
          <w:rFonts w:ascii="Times New Roman" w:hAnsi="Times New Roman" w:eastAsia="Times New Roman" w:cs="Times New Roman"/>
          <w:b/>
          <w:bCs/>
          <w:sz w:val="24"/>
          <w:lang w:bidi="ar"/>
        </w:rPr>
      </w:pPr>
      <w:r>
        <w:rPr>
          <w:rFonts w:ascii="Times New Roman" w:hAnsi="Times New Roman" w:eastAsia="Times New Roman" w:cs="Times New Roman"/>
          <w:b/>
          <w:bCs/>
          <w:sz w:val="24"/>
          <w:lang w:bidi="ar"/>
        </w:rPr>
        <w:t>Figure S</w:t>
      </w:r>
      <w:r>
        <w:rPr>
          <w:rFonts w:hint="eastAsia" w:ascii="Times New Roman" w:hAnsi="Times New Roman" w:eastAsia="宋体" w:cs="Times New Roman"/>
          <w:b/>
          <w:bCs/>
          <w:sz w:val="24"/>
          <w:lang w:bidi="ar"/>
        </w:rPr>
        <w:t>3</w:t>
      </w:r>
      <w:r>
        <w:rPr>
          <w:rFonts w:ascii="Times New Roman" w:hAnsi="Times New Roman" w:eastAsia="Times New Roman" w:cs="Times New Roman"/>
          <w:b/>
          <w:bCs/>
          <w:sz w:val="24"/>
          <w:lang w:bidi="ar"/>
        </w:rPr>
        <w:t>. Global distribution of leading Level 3 risk factors among WCBA in 2021. (A) Age-standardized SEVs; (B) Attributable DALYs.</w:t>
      </w:r>
    </w:p>
    <w:p w14:paraId="6A5681A3">
      <w:pPr>
        <w:rPr>
          <w:rFonts w:ascii="Times New Roman" w:hAnsi="Times New Roman" w:cs="Times New Roman"/>
          <w:sz w:val="24"/>
        </w:rPr>
      </w:pPr>
      <w:r>
        <w:rPr>
          <w:rFonts w:ascii="Times New Roman" w:hAnsi="Times New Roman" w:cs="Times New Roman"/>
          <w:sz w:val="24"/>
        </w:rPr>
        <w:t>Abbreviations: SEV, summary exposure value; DALY, disability-adjusted life year; SDI, Socio-demographic Index; Low PUFA, diet low in omega-6 polyunsaturated fatty acids; Low omega-3, diet low in seafood omega-3 fatty acids.</w:t>
      </w:r>
    </w:p>
    <w:p w14:paraId="13B848EC">
      <w:pPr>
        <w:rPr>
          <w:rFonts w:ascii="Times New Roman" w:hAnsi="Times New Roman" w:cs="Times New Roman"/>
          <w:sz w:val="24"/>
        </w:rPr>
      </w:pPr>
      <w:r>
        <w:drawing>
          <wp:inline distT="0" distB="0" distL="114300" distR="114300">
            <wp:extent cx="4349750" cy="4682490"/>
            <wp:effectExtent l="0" t="0" r="12700" b="381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4349750" cy="4682490"/>
                    </a:xfrm>
                    <a:prstGeom prst="rect">
                      <a:avLst/>
                    </a:prstGeom>
                    <a:noFill/>
                    <a:ln>
                      <a:noFill/>
                    </a:ln>
                  </pic:spPr>
                </pic:pic>
              </a:graphicData>
            </a:graphic>
          </wp:inline>
        </w:drawing>
      </w:r>
    </w:p>
    <w:p w14:paraId="1FD23F22">
      <w:pPr>
        <w:rPr>
          <w:rFonts w:ascii="Times New Roman" w:hAnsi="Times New Roman" w:cs="Times New Roman"/>
          <w:sz w:val="24"/>
        </w:rPr>
      </w:pPr>
    </w:p>
    <w:p w14:paraId="660949AC">
      <w:pPr>
        <w:rPr>
          <w:rFonts w:ascii="Times New Roman" w:hAnsi="Times New Roman" w:cs="Times New Roman"/>
          <w:sz w:val="24"/>
        </w:rPr>
        <w:sectPr>
          <w:pgSz w:w="16838" w:h="11906" w:orient="landscape"/>
          <w:pgMar w:top="1800" w:right="1440" w:bottom="1800" w:left="1440" w:header="851" w:footer="992" w:gutter="0"/>
          <w:lnNumType w:countBy="1" w:restart="continuous"/>
          <w:cols w:space="425" w:num="1"/>
          <w:docGrid w:type="lines" w:linePitch="312" w:charSpace="0"/>
        </w:sectPr>
      </w:pPr>
    </w:p>
    <w:p w14:paraId="525CA9D7">
      <w:pPr>
        <w:rPr>
          <w:rFonts w:ascii="Times New Roman" w:hAnsi="Times New Roman" w:cs="Times New Roman"/>
          <w:b/>
          <w:bCs/>
          <w:sz w:val="24"/>
        </w:rPr>
      </w:pPr>
      <w:r>
        <w:rPr>
          <w:rFonts w:ascii="Times New Roman" w:hAnsi="Times New Roman" w:cs="Times New Roman"/>
          <w:b/>
          <w:bCs/>
          <w:sz w:val="24"/>
        </w:rPr>
        <w:t>Figure S</w:t>
      </w:r>
      <w:r>
        <w:rPr>
          <w:rFonts w:hint="eastAsia" w:ascii="Times New Roman" w:hAnsi="Times New Roman" w:cs="Times New Roman"/>
          <w:b/>
          <w:bCs/>
          <w:sz w:val="24"/>
        </w:rPr>
        <w:t>4</w:t>
      </w:r>
      <w:r>
        <w:rPr>
          <w:rFonts w:ascii="Times New Roman" w:hAnsi="Times New Roman" w:cs="Times New Roman"/>
          <w:b/>
          <w:bCs/>
          <w:sz w:val="24"/>
        </w:rPr>
        <w:t>. Top 25 Level 3 Risk Factors by Attributable DALYs among WCBA in 1990 and 2021, with Percentage of Total DALYs, Percentage Change, and EAPC in Age-Standardized DALY Rates by SDI Quintile</w:t>
      </w:r>
    </w:p>
    <w:p w14:paraId="47EC7E23">
      <w:pPr>
        <w:rPr>
          <w:rFonts w:ascii="Times New Roman" w:hAnsi="Times New Roman" w:cs="Times New Roman"/>
          <w:sz w:val="24"/>
        </w:rPr>
      </w:pPr>
      <w:r>
        <w:rPr>
          <w:rFonts w:ascii="Times New Roman" w:hAnsi="Times New Roman" w:cs="Times New Roman"/>
          <w:b/>
          <w:bCs/>
          <w:sz w:val="24"/>
        </w:rPr>
        <w:br w:type="textWrapping"/>
      </w:r>
      <w:r>
        <w:rPr>
          <w:rFonts w:ascii="Times New Roman" w:hAnsi="Times New Roman" w:cs="Times New Roman"/>
          <w:sz w:val="24"/>
        </w:rPr>
        <w:t>Panels A–E correspond to high SDI (A), high-middle SDI (B), middle SDI (C), low-middle SDI (D), and low SDI (E). Within each SDI quintile, risk factors are ordered by DALYs in descending order for 1990 and 2021. Lines connecting the same risk factor across time indicate rank changes: solid lines represent an increase or no change, while dashed lines indicate a decline.</w:t>
      </w:r>
      <w:r>
        <w:rPr>
          <w:rFonts w:hint="eastAsia" w:ascii="Times New Roman" w:hAnsi="Times New Roman" w:cs="Times New Roman"/>
          <w:sz w:val="24"/>
        </w:rPr>
        <w:t xml:space="preserve"> Colors indicate risk categories, with red representing environmental and occupational risks, blue representing behavioural risks, and green representing metabolic risks. EAPC values are presented numerically in the rightmost column, and the same color scheme and legend are used across all panels.</w:t>
      </w:r>
    </w:p>
    <w:p w14:paraId="7F9D0091">
      <w:pPr>
        <w:rPr>
          <w:rFonts w:ascii="Times New Roman" w:hAnsi="Times New Roman" w:cs="Times New Roman"/>
          <w:b/>
          <w:bCs/>
          <w:sz w:val="24"/>
        </w:rPr>
      </w:pPr>
      <w:r>
        <w:rPr>
          <w:rFonts w:ascii="Times New Roman" w:hAnsi="Times New Roman" w:cs="Times New Roman"/>
          <w:sz w:val="24"/>
        </w:rPr>
        <w:br w:type="textWrapping"/>
      </w:r>
      <w:r>
        <w:rPr>
          <w:rFonts w:ascii="Times New Roman" w:hAnsi="Times New Roman" w:cs="Times New Roman"/>
          <w:sz w:val="24"/>
        </w:rPr>
        <w:t>Abbreviations:</w:t>
      </w:r>
      <w:r>
        <w:rPr>
          <w:rFonts w:ascii="Times New Roman" w:hAnsi="Times New Roman" w:cs="Times New Roman"/>
          <w:sz w:val="24"/>
        </w:rPr>
        <w:br w:type="textWrapping"/>
      </w:r>
      <w:r>
        <w:rPr>
          <w:rFonts w:ascii="Times New Roman" w:hAnsi="Times New Roman" w:cs="Times New Roman"/>
          <w:sz w:val="24"/>
        </w:rPr>
        <w:t>Childhood sexual abuse, sexual violence against children; DALYs, disability-adjusted life years; Ergonomic risks, occupational ergonomic factors; LBW and short gestation, low birth weight and short gestation; Low seafood omega-3, diet low in seafood omega-3 fatty acids; No handwashing, no access to handwashing facility; SDI, Socio-demographic Index; WCBA, women of childbearing age.</w:t>
      </w:r>
    </w:p>
    <w:p w14:paraId="6456B62E">
      <w:pPr>
        <w:rPr>
          <w:rFonts w:hint="eastAsia" w:ascii="Times New Roman" w:hAnsi="Times New Roman" w:cs="Times New Roman"/>
          <w:b/>
          <w:bCs/>
          <w:sz w:val="24"/>
        </w:rPr>
      </w:pPr>
    </w:p>
    <w:p w14:paraId="4AED3928">
      <w:pPr>
        <w:rPr>
          <w:rFonts w:hint="eastAsia" w:ascii="Times New Roman" w:hAnsi="Times New Roman" w:cs="Times New Roman" w:eastAsiaTheme="minorEastAsia"/>
          <w:b/>
          <w:bCs/>
          <w:sz w:val="24"/>
          <w:lang w:val="en-US" w:eastAsia="zh-CN"/>
        </w:rPr>
      </w:pPr>
      <w:r>
        <w:rPr>
          <w:rFonts w:ascii="Times New Roman" w:hAnsi="Times New Roman" w:cs="Times New Roman"/>
          <w:b/>
          <w:bCs/>
          <w:sz w:val="24"/>
        </w:rPr>
        <w:t xml:space="preserve">A. High </w:t>
      </w:r>
      <w:r>
        <w:rPr>
          <w:rFonts w:hint="eastAsia" w:ascii="Times New Roman" w:hAnsi="Times New Roman" w:cs="Times New Roman"/>
          <w:b/>
          <w:bCs/>
          <w:sz w:val="24"/>
        </w:rPr>
        <w:t>S</w:t>
      </w:r>
      <w:r>
        <w:rPr>
          <w:rFonts w:ascii="Times New Roman" w:hAnsi="Times New Roman" w:cs="Times New Roman"/>
          <w:b/>
          <w:bCs/>
          <w:sz w:val="24"/>
        </w:rPr>
        <w:t>D</w:t>
      </w:r>
      <w:r>
        <w:rPr>
          <w:rFonts w:hint="eastAsia" w:ascii="Times New Roman" w:hAnsi="Times New Roman" w:cs="Times New Roman"/>
          <w:b/>
          <w:bCs/>
          <w:sz w:val="24"/>
          <w:lang w:val="en-US" w:eastAsia="zh-CN"/>
        </w:rPr>
        <w:t>I</w:t>
      </w:r>
      <w:bookmarkStart w:id="3" w:name="_GoBack"/>
      <w:bookmarkEnd w:id="3"/>
    </w:p>
    <w:p w14:paraId="679F537F">
      <w:pPr>
        <w:rPr>
          <w:rFonts w:hint="eastAsia" w:ascii="Times New Roman" w:hAnsi="Times New Roman" w:cs="Times New Roman"/>
          <w:b/>
          <w:bCs/>
          <w:sz w:val="24"/>
        </w:rPr>
      </w:pPr>
    </w:p>
    <w:p w14:paraId="524BCAB8">
      <w:pPr>
        <w:rPr>
          <w:rFonts w:ascii="Times New Roman" w:hAnsi="Times New Roman" w:cs="Times New Roman"/>
          <w:b/>
          <w:bCs/>
          <w:sz w:val="24"/>
        </w:rPr>
        <w:sectPr>
          <w:pgSz w:w="16838" w:h="11906" w:orient="landscape"/>
          <w:pgMar w:top="1800" w:right="1440" w:bottom="1800" w:left="1440" w:header="851" w:footer="992" w:gutter="0"/>
          <w:lnNumType w:countBy="1" w:restart="continuous"/>
          <w:cols w:space="425" w:num="1"/>
          <w:docGrid w:type="lines" w:linePitch="312" w:charSpace="0"/>
        </w:sectPr>
      </w:pPr>
      <w:r>
        <w:rPr>
          <w:rFonts w:ascii="Times New Roman" w:hAnsi="Times New Roman" w:cs="Times New Roman"/>
          <w:b/>
          <w:bCs/>
          <w:sz w:val="24"/>
        </w:rPr>
        <w:drawing>
          <wp:inline distT="0" distB="0" distL="114300" distR="114300">
            <wp:extent cx="7971790" cy="4504055"/>
            <wp:effectExtent l="0" t="0" r="0" b="0"/>
            <wp:docPr id="8" name="图片 8" descr="arrow_DALYs_High SDI-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rrow_DALYs_High SDI-01"/>
                    <pic:cNvPicPr>
                      <a:picLocks noChangeAspect="1"/>
                    </pic:cNvPicPr>
                  </pic:nvPicPr>
                  <pic:blipFill>
                    <a:blip r:embed="rId7"/>
                    <a:stretch>
                      <a:fillRect/>
                    </a:stretch>
                  </pic:blipFill>
                  <pic:spPr>
                    <a:xfrm>
                      <a:off x="0" y="0"/>
                      <a:ext cx="7980604" cy="4509020"/>
                    </a:xfrm>
                    <a:prstGeom prst="rect">
                      <a:avLst/>
                    </a:prstGeom>
                  </pic:spPr>
                </pic:pic>
              </a:graphicData>
            </a:graphic>
          </wp:inline>
        </w:drawing>
      </w:r>
    </w:p>
    <w:p w14:paraId="40ACE5C3">
      <w:r>
        <w:rPr>
          <w:rFonts w:hint="eastAsia" w:ascii="Times New Roman" w:hAnsi="Times New Roman" w:cs="Times New Roman"/>
          <w:b/>
          <w:bCs/>
          <w:sz w:val="24"/>
        </w:rPr>
        <w:t xml:space="preserve">B. </w:t>
      </w:r>
      <w:r>
        <w:rPr>
          <w:rFonts w:ascii="Times New Roman" w:hAnsi="Times New Roman" w:cs="Times New Roman"/>
          <w:b/>
          <w:bCs/>
          <w:sz w:val="24"/>
        </w:rPr>
        <w:t>High-middle SDI</w:t>
      </w:r>
    </w:p>
    <w:p w14:paraId="43F7396A">
      <w:r>
        <w:rPr>
          <w:rFonts w:hint="eastAsia"/>
        </w:rPr>
        <w:drawing>
          <wp:inline distT="0" distB="0" distL="114300" distR="114300">
            <wp:extent cx="8202295" cy="4851400"/>
            <wp:effectExtent l="0" t="0" r="8255" b="6350"/>
            <wp:docPr id="9" name="图片 9" descr="arrow_DALYs_High-middle SDI-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arrow_DALYs_High-middle SDI-01"/>
                    <pic:cNvPicPr>
                      <a:picLocks noChangeAspect="1"/>
                    </pic:cNvPicPr>
                  </pic:nvPicPr>
                  <pic:blipFill>
                    <a:blip r:embed="rId8"/>
                    <a:stretch>
                      <a:fillRect/>
                    </a:stretch>
                  </pic:blipFill>
                  <pic:spPr>
                    <a:xfrm>
                      <a:off x="0" y="0"/>
                      <a:ext cx="8202295" cy="4851400"/>
                    </a:xfrm>
                    <a:prstGeom prst="rect">
                      <a:avLst/>
                    </a:prstGeom>
                  </pic:spPr>
                </pic:pic>
              </a:graphicData>
            </a:graphic>
          </wp:inline>
        </w:drawing>
      </w:r>
    </w:p>
    <w:p w14:paraId="7E626D99">
      <w:r>
        <w:rPr>
          <w:rFonts w:hint="eastAsia" w:ascii="Times New Roman" w:hAnsi="Times New Roman" w:cs="Times New Roman"/>
          <w:b/>
          <w:bCs/>
          <w:sz w:val="24"/>
        </w:rPr>
        <w:t xml:space="preserve">C. </w:t>
      </w:r>
      <w:r>
        <w:rPr>
          <w:rFonts w:ascii="Times New Roman" w:hAnsi="Times New Roman" w:cs="Times New Roman"/>
          <w:b/>
          <w:bCs/>
          <w:sz w:val="24"/>
        </w:rPr>
        <w:t>Middle SDI</w:t>
      </w:r>
    </w:p>
    <w:p w14:paraId="21137B79">
      <w:r>
        <w:rPr>
          <w:rFonts w:hint="eastAsia"/>
        </w:rPr>
        <w:drawing>
          <wp:inline distT="0" distB="0" distL="114300" distR="114300">
            <wp:extent cx="8861425" cy="4874260"/>
            <wp:effectExtent l="0" t="0" r="15875" b="2540"/>
            <wp:docPr id="10" name="图片 10" descr="arrow_DALYs_Middle SDI-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arrow_DALYs_Middle SDI-01"/>
                    <pic:cNvPicPr>
                      <a:picLocks noChangeAspect="1"/>
                    </pic:cNvPicPr>
                  </pic:nvPicPr>
                  <pic:blipFill>
                    <a:blip r:embed="rId9"/>
                    <a:stretch>
                      <a:fillRect/>
                    </a:stretch>
                  </pic:blipFill>
                  <pic:spPr>
                    <a:xfrm>
                      <a:off x="0" y="0"/>
                      <a:ext cx="8861425" cy="4874260"/>
                    </a:xfrm>
                    <a:prstGeom prst="rect">
                      <a:avLst/>
                    </a:prstGeom>
                  </pic:spPr>
                </pic:pic>
              </a:graphicData>
            </a:graphic>
          </wp:inline>
        </w:drawing>
      </w:r>
    </w:p>
    <w:p w14:paraId="03749239">
      <w:pPr>
        <w:rPr>
          <w:rFonts w:ascii="Times New Roman" w:hAnsi="Times New Roman" w:cs="Times New Roman"/>
          <w:b/>
          <w:bCs/>
          <w:sz w:val="24"/>
        </w:rPr>
      </w:pPr>
    </w:p>
    <w:p w14:paraId="2A1A5034">
      <w:r>
        <w:rPr>
          <w:rFonts w:hint="eastAsia" w:ascii="Times New Roman" w:hAnsi="Times New Roman" w:cs="Times New Roman"/>
          <w:b/>
          <w:bCs/>
          <w:sz w:val="24"/>
        </w:rPr>
        <w:t xml:space="preserve">D. </w:t>
      </w:r>
      <w:r>
        <w:rPr>
          <w:rFonts w:ascii="Times New Roman" w:hAnsi="Times New Roman" w:cs="Times New Roman"/>
          <w:b/>
          <w:bCs/>
          <w:sz w:val="24"/>
        </w:rPr>
        <w:t>Low-middle SDI</w:t>
      </w:r>
    </w:p>
    <w:p w14:paraId="4E8396E8">
      <w:r>
        <w:rPr>
          <w:rFonts w:hint="eastAsia"/>
        </w:rPr>
        <w:drawing>
          <wp:inline distT="0" distB="0" distL="114300" distR="114300">
            <wp:extent cx="8253095" cy="4582160"/>
            <wp:effectExtent l="0" t="0" r="14605" b="8890"/>
            <wp:docPr id="11" name="图片 11" descr="arrow_DALYs_Low-middle SDI-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rrow_DALYs_Low-middle SDI-01"/>
                    <pic:cNvPicPr>
                      <a:picLocks noChangeAspect="1"/>
                    </pic:cNvPicPr>
                  </pic:nvPicPr>
                  <pic:blipFill>
                    <a:blip r:embed="rId10"/>
                    <a:stretch>
                      <a:fillRect/>
                    </a:stretch>
                  </pic:blipFill>
                  <pic:spPr>
                    <a:xfrm>
                      <a:off x="0" y="0"/>
                      <a:ext cx="8253095" cy="4582160"/>
                    </a:xfrm>
                    <a:prstGeom prst="rect">
                      <a:avLst/>
                    </a:prstGeom>
                  </pic:spPr>
                </pic:pic>
              </a:graphicData>
            </a:graphic>
          </wp:inline>
        </w:drawing>
      </w:r>
    </w:p>
    <w:p w14:paraId="44B7E237">
      <w:pPr>
        <w:numPr>
          <w:ilvl w:val="0"/>
          <w:numId w:val="1"/>
        </w:numPr>
        <w:rPr>
          <w:rFonts w:hint="eastAsia" w:ascii="Times New Roman" w:hAnsi="Times New Roman" w:cs="Times New Roman"/>
          <w:b/>
          <w:bCs/>
          <w:sz w:val="24"/>
        </w:rPr>
      </w:pPr>
      <w:r>
        <w:rPr>
          <w:rFonts w:ascii="Times New Roman" w:hAnsi="Times New Roman" w:cs="Times New Roman"/>
          <w:b/>
          <w:bCs/>
          <w:sz w:val="24"/>
        </w:rPr>
        <w:t>Low SDI</w:t>
      </w:r>
    </w:p>
    <w:p w14:paraId="5D6E2A8D">
      <w:pPr>
        <w:rPr>
          <w:rFonts w:ascii="Times New Roman" w:hAnsi="Times New Roman" w:cs="Times New Roman"/>
          <w:b/>
          <w:bCs/>
          <w:sz w:val="24"/>
        </w:rPr>
      </w:pPr>
      <w:r>
        <w:rPr>
          <w:rFonts w:hint="eastAsia" w:ascii="Times New Roman" w:hAnsi="Times New Roman" w:cs="Times New Roman"/>
          <w:b/>
          <w:bCs/>
          <w:sz w:val="24"/>
        </w:rPr>
        <w:drawing>
          <wp:inline distT="0" distB="0" distL="114300" distR="114300">
            <wp:extent cx="8538845" cy="4707255"/>
            <wp:effectExtent l="0" t="0" r="14605" b="17145"/>
            <wp:docPr id="12" name="图片 12" descr="arrow_DALYs_Low SDI-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rrow_DALYs_Low SDI-01"/>
                    <pic:cNvPicPr>
                      <a:picLocks noChangeAspect="1"/>
                    </pic:cNvPicPr>
                  </pic:nvPicPr>
                  <pic:blipFill>
                    <a:blip r:embed="rId11"/>
                    <a:stretch>
                      <a:fillRect/>
                    </a:stretch>
                  </pic:blipFill>
                  <pic:spPr>
                    <a:xfrm>
                      <a:off x="0" y="0"/>
                      <a:ext cx="8538845" cy="4707255"/>
                    </a:xfrm>
                    <a:prstGeom prst="rect">
                      <a:avLst/>
                    </a:prstGeom>
                  </pic:spPr>
                </pic:pic>
              </a:graphicData>
            </a:graphic>
          </wp:inline>
        </w:drawing>
      </w:r>
    </w:p>
    <w:p w14:paraId="0DA4DE5B">
      <w:pPr>
        <w:rPr>
          <w:rFonts w:ascii="Times New Roman" w:hAnsi="Times New Roman" w:cs="Times New Roman"/>
          <w:sz w:val="24"/>
        </w:rPr>
      </w:pPr>
    </w:p>
    <w:p w14:paraId="6FA37557">
      <w:pPr>
        <w:rPr>
          <w:rFonts w:ascii="Times New Roman" w:hAnsi="Times New Roman" w:eastAsia="Times New Roman" w:cs="Times New Roman"/>
          <w:b/>
          <w:bCs/>
          <w:sz w:val="24"/>
          <w:lang w:bidi="ar"/>
        </w:rPr>
      </w:pPr>
      <w:r>
        <w:rPr>
          <w:rFonts w:ascii="Times New Roman" w:hAnsi="Times New Roman" w:eastAsia="Times New Roman" w:cs="Times New Roman"/>
          <w:b/>
          <w:bCs/>
          <w:sz w:val="24"/>
          <w:lang w:bidi="ar"/>
        </w:rPr>
        <w:t xml:space="preserve">Figure </w:t>
      </w:r>
      <w:r>
        <w:rPr>
          <w:rFonts w:hint="eastAsia" w:ascii="Times New Roman" w:hAnsi="Times New Roman" w:eastAsia="Times New Roman" w:cs="Times New Roman"/>
          <w:b/>
          <w:bCs/>
          <w:sz w:val="24"/>
          <w:lang w:bidi="ar"/>
        </w:rPr>
        <w:t>S5</w:t>
      </w:r>
      <w:r>
        <w:rPr>
          <w:rFonts w:ascii="Times New Roman" w:hAnsi="Times New Roman" w:eastAsia="Times New Roman" w:cs="Times New Roman"/>
          <w:b/>
          <w:bCs/>
          <w:sz w:val="24"/>
          <w:lang w:bidi="ar"/>
        </w:rPr>
        <w:t>. Temporal trends in risk factor exposure and burden among WCBA across SDI quintiles, 1990–2021</w:t>
      </w:r>
    </w:p>
    <w:p w14:paraId="08F2F27F">
      <w:pPr>
        <w:rPr>
          <w:rFonts w:hint="eastAsia" w:eastAsia="等线"/>
        </w:rPr>
      </w:pPr>
      <w:r>
        <w:rPr>
          <w:rFonts w:ascii="Times New Roman" w:hAnsi="Times New Roman" w:eastAsia="Times New Roman" w:cs="Times New Roman"/>
          <w:sz w:val="24"/>
          <w:lang w:bidi="ar"/>
        </w:rPr>
        <w:br w:type="textWrapping"/>
      </w:r>
      <w:r>
        <w:rPr>
          <w:rFonts w:ascii="Times New Roman" w:hAnsi="Times New Roman" w:cs="Times New Roman"/>
          <w:sz w:val="24"/>
        </w:rPr>
        <w:t>This figure displays the correlations between summary exposure value (SEV), age-standardized DALY rates (ASDRs), and the Socio-demographic Index (SDI) for behavioral, environmental/occupational, and metabolic risk categories among WCBA across 21 global regions. The black line represents expected SEV values based on SDI. Spearman correlation coefficients (r) and corresponding p-values indicate the strength and significance of the associations.</w:t>
      </w:r>
    </w:p>
    <w:p w14:paraId="6B4DB6C5">
      <w:pPr>
        <w:rPr>
          <w:rFonts w:ascii="Times New Roman" w:hAnsi="Times New Roman" w:cs="Times New Roman"/>
          <w:sz w:val="24"/>
          <w:lang w:val="zh-CN"/>
        </w:rPr>
      </w:pPr>
      <w:r>
        <w:drawing>
          <wp:inline distT="0" distB="0" distL="114300" distR="114300">
            <wp:extent cx="7071360" cy="4712335"/>
            <wp:effectExtent l="0" t="0" r="15240" b="120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2"/>
                    <a:stretch>
                      <a:fillRect/>
                    </a:stretch>
                  </pic:blipFill>
                  <pic:spPr>
                    <a:xfrm>
                      <a:off x="0" y="0"/>
                      <a:ext cx="7071360" cy="4712335"/>
                    </a:xfrm>
                    <a:prstGeom prst="rect">
                      <a:avLst/>
                    </a:prstGeom>
                    <a:noFill/>
                    <a:ln>
                      <a:noFill/>
                    </a:ln>
                  </pic:spPr>
                </pic:pic>
              </a:graphicData>
            </a:graphic>
          </wp:inline>
        </w:drawing>
      </w:r>
    </w:p>
    <w:p w14:paraId="67C1BDF8">
      <w:pPr>
        <w:rPr>
          <w:rFonts w:hint="eastAsia"/>
        </w:rPr>
      </w:pPr>
    </w:p>
    <w:sectPr>
      <w:pgSz w:w="16838" w:h="11906" w:orient="landscape"/>
      <w:pgMar w:top="1800" w:right="1440" w:bottom="1800" w:left="1440" w:header="851" w:footer="992" w:gutter="0"/>
      <w:lnNumType w:countBy="1" w:restart="continuou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auto"/>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8D8EC39"/>
    <w:multiLevelType w:val="singleLevel"/>
    <w:tmpl w:val="E8D8EC39"/>
    <w:lvl w:ilvl="0" w:tentative="0">
      <w:start w:val="5"/>
      <w:numFmt w:val="upperLetter"/>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2C09"/>
    <w:rsid w:val="00096ACF"/>
    <w:rsid w:val="000F3C19"/>
    <w:rsid w:val="00142C09"/>
    <w:rsid w:val="001D6AC4"/>
    <w:rsid w:val="002401D1"/>
    <w:rsid w:val="00266DC7"/>
    <w:rsid w:val="00353B96"/>
    <w:rsid w:val="00363DD8"/>
    <w:rsid w:val="003A5CF4"/>
    <w:rsid w:val="00401219"/>
    <w:rsid w:val="004F724F"/>
    <w:rsid w:val="005415CC"/>
    <w:rsid w:val="00544417"/>
    <w:rsid w:val="00654C7A"/>
    <w:rsid w:val="006B409B"/>
    <w:rsid w:val="007A6165"/>
    <w:rsid w:val="007B2EDB"/>
    <w:rsid w:val="0085649C"/>
    <w:rsid w:val="0086152F"/>
    <w:rsid w:val="00936417"/>
    <w:rsid w:val="00B26929"/>
    <w:rsid w:val="00DC5660"/>
    <w:rsid w:val="00DE11DC"/>
    <w:rsid w:val="00E44D2A"/>
    <w:rsid w:val="00EC303E"/>
    <w:rsid w:val="00F00D4E"/>
    <w:rsid w:val="05544488"/>
    <w:rsid w:val="0578009D"/>
    <w:rsid w:val="06ED0618"/>
    <w:rsid w:val="082017A8"/>
    <w:rsid w:val="0A464D60"/>
    <w:rsid w:val="0DC237A9"/>
    <w:rsid w:val="126D6803"/>
    <w:rsid w:val="15204C2B"/>
    <w:rsid w:val="15CA0266"/>
    <w:rsid w:val="22A54070"/>
    <w:rsid w:val="239C0C8D"/>
    <w:rsid w:val="24963975"/>
    <w:rsid w:val="29F90723"/>
    <w:rsid w:val="2A210F44"/>
    <w:rsid w:val="2BEE242F"/>
    <w:rsid w:val="2C0B093C"/>
    <w:rsid w:val="2D4536E3"/>
    <w:rsid w:val="2FA6568E"/>
    <w:rsid w:val="30DC3D32"/>
    <w:rsid w:val="3AC938F6"/>
    <w:rsid w:val="3C1A6CDD"/>
    <w:rsid w:val="3DD15EDD"/>
    <w:rsid w:val="3FB05515"/>
    <w:rsid w:val="41953714"/>
    <w:rsid w:val="42CB4B94"/>
    <w:rsid w:val="43886D80"/>
    <w:rsid w:val="477459E1"/>
    <w:rsid w:val="4CEA1845"/>
    <w:rsid w:val="52FA7630"/>
    <w:rsid w:val="55061CE8"/>
    <w:rsid w:val="56B5530C"/>
    <w:rsid w:val="5878531F"/>
    <w:rsid w:val="598D46D0"/>
    <w:rsid w:val="666B1F9C"/>
    <w:rsid w:val="6A691458"/>
    <w:rsid w:val="6C351917"/>
    <w:rsid w:val="6C922387"/>
    <w:rsid w:val="6D8313AD"/>
    <w:rsid w:val="6E3141CE"/>
    <w:rsid w:val="6F5A2810"/>
    <w:rsid w:val="719431D1"/>
    <w:rsid w:val="74C00DE7"/>
    <w:rsid w:val="75E77429"/>
    <w:rsid w:val="77674410"/>
    <w:rsid w:val="796B643A"/>
    <w:rsid w:val="7D3300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qFormat="1"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footer"/>
    <w:basedOn w:val="1"/>
    <w:link w:val="10"/>
    <w:qFormat/>
    <w:uiPriority w:val="0"/>
    <w:pPr>
      <w:tabs>
        <w:tab w:val="center" w:pos="4153"/>
        <w:tab w:val="right" w:pos="8306"/>
      </w:tabs>
      <w:snapToGrid w:val="0"/>
      <w:jc w:val="left"/>
    </w:pPr>
    <w:rPr>
      <w:sz w:val="18"/>
      <w:szCs w:val="18"/>
    </w:rPr>
  </w:style>
  <w:style w:type="paragraph" w:styleId="3">
    <w:name w:val="header"/>
    <w:basedOn w:val="1"/>
    <w:link w:val="9"/>
    <w:qFormat/>
    <w:uiPriority w:val="0"/>
    <w:pPr>
      <w:tabs>
        <w:tab w:val="center" w:pos="4153"/>
        <w:tab w:val="right" w:pos="8306"/>
      </w:tabs>
      <w:snapToGrid w:val="0"/>
      <w:jc w:val="center"/>
    </w:pPr>
    <w:rPr>
      <w:sz w:val="18"/>
      <w:szCs w:val="18"/>
    </w:rPr>
  </w:style>
  <w:style w:type="paragraph" w:styleId="4">
    <w:name w:val="Normal (Web)"/>
    <w:basedOn w:val="1"/>
    <w:unhideWhenUsed/>
    <w:qFormat/>
    <w:uiPriority w:val="99"/>
    <w:pPr>
      <w:widowControl/>
      <w:spacing w:before="100" w:beforeAutospacing="1" w:after="100" w:afterAutospacing="1"/>
      <w:jc w:val="left"/>
    </w:pPr>
    <w:rPr>
      <w:rFonts w:ascii="Times New Roman" w:hAnsi="Times New Roman" w:eastAsia="Times New Roman" w:cs="Times New Roman"/>
      <w:kern w:val="0"/>
      <w:sz w:val="24"/>
      <w:lang w:val="zh-CN"/>
    </w:rPr>
  </w:style>
  <w:style w:type="character" w:styleId="7">
    <w:name w:val="Strong"/>
    <w:basedOn w:val="6"/>
    <w:qFormat/>
    <w:uiPriority w:val="22"/>
    <w:rPr>
      <w:b/>
      <w:bCs/>
    </w:rPr>
  </w:style>
  <w:style w:type="character" w:styleId="8">
    <w:name w:val="line number"/>
    <w:basedOn w:val="6"/>
    <w:qFormat/>
    <w:uiPriority w:val="0"/>
  </w:style>
  <w:style w:type="character" w:customStyle="1" w:styleId="9">
    <w:name w:val="页眉 字符"/>
    <w:basedOn w:val="6"/>
    <w:link w:val="3"/>
    <w:qFormat/>
    <w:uiPriority w:val="0"/>
    <w:rPr>
      <w:rFonts w:asciiTheme="minorHAnsi" w:hAnsiTheme="minorHAnsi" w:eastAsiaTheme="minorEastAsia" w:cstheme="minorBidi"/>
      <w:kern w:val="2"/>
      <w:sz w:val="18"/>
      <w:szCs w:val="18"/>
    </w:rPr>
  </w:style>
  <w:style w:type="character" w:customStyle="1" w:styleId="10">
    <w:name w:val="页脚 字符"/>
    <w:basedOn w:val="6"/>
    <w:link w:val="2"/>
    <w:qFormat/>
    <w:uiPriority w:val="0"/>
    <w:rPr>
      <w:rFonts w:asciiTheme="minorHAnsi" w:hAnsiTheme="minorHAnsi" w:eastAsiaTheme="minorEastAsia" w:cstheme="minorBidi"/>
      <w:kern w:val="2"/>
      <w:sz w:val="18"/>
      <w:szCs w:val="18"/>
    </w:rPr>
  </w:style>
  <w:style w:type="paragraph" w:customStyle="1" w:styleId="11">
    <w:name w:val="修订1"/>
    <w:hidden/>
    <w:unhideWhenUsed/>
    <w:qFormat/>
    <w:uiPriority w:val="99"/>
    <w:rPr>
      <w:rFonts w:asciiTheme="minorHAnsi" w:hAnsiTheme="minorHAnsi" w:eastAsiaTheme="minorEastAsia" w:cstheme="minorBidi"/>
      <w:kern w:val="2"/>
      <w:sz w:val="21"/>
      <w:szCs w:val="24"/>
      <w:lang w:val="en-US" w:eastAsia="zh-CN" w:bidi="ar-SA"/>
    </w:rPr>
  </w:style>
  <w:style w:type="paragraph" w:customStyle="1" w:styleId="12">
    <w:name w:val="修订2"/>
    <w:hidden/>
    <w:unhideWhenUsed/>
    <w:qFormat/>
    <w:uiPriority w:val="99"/>
    <w:rPr>
      <w:rFonts w:asciiTheme="minorHAnsi" w:hAnsiTheme="minorHAnsi" w:eastAsiaTheme="minorEastAsia" w:cstheme="minorBidi"/>
      <w:kern w:val="2"/>
      <w:sz w:val="21"/>
      <w:szCs w:val="24"/>
      <w:lang w:val="en-US" w:eastAsia="zh-CN" w:bidi="ar-SA"/>
    </w:rPr>
  </w:style>
  <w:style w:type="paragraph" w:customStyle="1" w:styleId="13">
    <w:name w:val="Revision"/>
    <w:hidden/>
    <w:unhideWhenUsed/>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tiff"/><Relationship Id="rId8" Type="http://schemas.openxmlformats.org/officeDocument/2006/relationships/image" Target="media/image5.tiff"/><Relationship Id="rId7" Type="http://schemas.openxmlformats.org/officeDocument/2006/relationships/image" Target="media/image4.tiff"/><Relationship Id="rId6" Type="http://schemas.openxmlformats.org/officeDocument/2006/relationships/image" Target="media/image3.png"/><Relationship Id="rId5" Type="http://schemas.openxmlformats.org/officeDocument/2006/relationships/image" Target="media/image2.tiff"/><Relationship Id="rId4" Type="http://schemas.openxmlformats.org/officeDocument/2006/relationships/image" Target="media/image1.tiff"/><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9.png"/><Relationship Id="rId11" Type="http://schemas.openxmlformats.org/officeDocument/2006/relationships/image" Target="media/image8.tiff"/><Relationship Id="rId10" Type="http://schemas.openxmlformats.org/officeDocument/2006/relationships/image" Target="media/image7.tiff"/><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26</Pages>
  <Words>3715</Words>
  <Characters>19034</Characters>
  <Lines>2129</Lines>
  <Paragraphs>996</Paragraphs>
  <TotalTime>10</TotalTime>
  <ScaleCrop>false</ScaleCrop>
  <LinksUpToDate>false</LinksUpToDate>
  <CharactersWithSpaces>21279</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2025-07-10T03:29:00Z</dcterms:created>
  <dc:creator>12567</dc:creator>
  <cp:lastModifiedBy>xie zhaomin</cp:lastModifiedBy>
  <dcterms:modified xsi:type="dcterms:W3CDTF">2026-04-23T07:14:18Z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eyJoZGlkIjoiM2Q3ZThhYzhlMGM1NjAyMmU1NmE5OTZlZDk5YTAwMmQiLCJ1c2VySWQiOiIyOTYyNjM0MzAifQ==</vt:lpwstr>
  </property>
  <property fmtid="{D5CDD505-2E9C-101B-9397-08002B2CF9AE}" pid="4" name="ICV">
    <vt:lpwstr>F85EF92961CC484397BC4227E0519B3C_12</vt:lpwstr>
  </property>
</Properties>
</file>